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color w:val="auto"/>
          <w:highlight w:val="none"/>
        </w:rPr>
      </w:pPr>
      <w:r>
        <w:rPr>
          <w:rFonts w:hint="eastAsia"/>
          <w:color w:val="auto"/>
          <w:highlight w:val="none"/>
          <w:lang w:val="en-US" w:eastAsia="zh-CN"/>
        </w:rPr>
        <w:t>选择</w:t>
      </w:r>
      <w:r>
        <w:rPr>
          <w:rFonts w:hint="eastAsia"/>
          <w:color w:val="auto"/>
          <w:highlight w:val="none"/>
        </w:rPr>
        <w:t>公告</w:t>
      </w:r>
    </w:p>
    <w:p>
      <w:pPr>
        <w:pageBreakBefore w:val="0"/>
        <w:kinsoku/>
        <w:wordWrap/>
        <w:overflowPunct/>
        <w:topLinePunct w:val="0"/>
        <w:autoSpaceDE/>
        <w:autoSpaceDN/>
        <w:bidi w:val="0"/>
        <w:adjustRightInd/>
        <w:snapToGrid/>
        <w:spacing w:line="360" w:lineRule="auto"/>
        <w:ind w:firstLine="482" w:firstLineChars="200"/>
        <w:rPr>
          <w:rFonts w:ascii="宋体" w:hAnsi="宋体"/>
          <w:b/>
          <w:color w:val="auto"/>
          <w:sz w:val="24"/>
          <w:highlight w:val="none"/>
        </w:rPr>
      </w:pPr>
      <w:bookmarkStart w:id="0" w:name="_Toc234382570"/>
      <w:bookmarkStart w:id="1" w:name="_Toc245379316"/>
      <w:bookmarkStart w:id="2" w:name="_Toc243796160"/>
      <w:bookmarkStart w:id="3" w:name="_Toc344732466"/>
      <w:r>
        <w:rPr>
          <w:rFonts w:hint="eastAsia" w:ascii="宋体" w:hAnsi="宋体"/>
          <w:b/>
          <w:color w:val="auto"/>
          <w:sz w:val="24"/>
          <w:highlight w:val="none"/>
        </w:rPr>
        <w:t>1.选择条件</w:t>
      </w:r>
      <w:bookmarkEnd w:id="0"/>
      <w:bookmarkEnd w:id="1"/>
      <w:bookmarkEnd w:id="2"/>
      <w:bookmarkEnd w:id="3"/>
    </w:p>
    <w:p>
      <w:pPr>
        <w:pageBreakBefore w:val="0"/>
        <w:kinsoku/>
        <w:wordWrap/>
        <w:overflowPunct/>
        <w:topLinePunct w:val="0"/>
        <w:autoSpaceDE/>
        <w:autoSpaceDN/>
        <w:bidi w:val="0"/>
        <w:adjustRightInd/>
        <w:snapToGrid/>
        <w:spacing w:line="360" w:lineRule="auto"/>
        <w:ind w:firstLine="480" w:firstLineChars="200"/>
        <w:rPr>
          <w:rFonts w:hint="eastAsia" w:ascii="宋体" w:hAnsi="宋体"/>
          <w:color w:val="auto"/>
          <w:sz w:val="24"/>
          <w:highlight w:val="none"/>
        </w:rPr>
      </w:pPr>
      <w:r>
        <w:rPr>
          <w:rFonts w:hint="eastAsia" w:ascii="宋体" w:hAnsi="宋体"/>
          <w:color w:val="auto"/>
          <w:kern w:val="0"/>
          <w:sz w:val="24"/>
          <w:highlight w:val="none"/>
          <w:u w:val="single"/>
        </w:rPr>
        <w:t>南平建设集团信达供应链有限公司</w:t>
      </w:r>
      <w:r>
        <w:rPr>
          <w:rFonts w:hint="eastAsia" w:ascii="宋体" w:hAnsi="宋体"/>
          <w:color w:val="auto"/>
          <w:kern w:val="0"/>
          <w:sz w:val="24"/>
          <w:highlight w:val="none"/>
        </w:rPr>
        <w:t>根据</w:t>
      </w:r>
      <w:r>
        <w:rPr>
          <w:rFonts w:hint="eastAsia" w:ascii="宋体" w:hAnsi="宋体"/>
          <w:color w:val="auto"/>
          <w:kern w:val="0"/>
          <w:sz w:val="24"/>
          <w:highlight w:val="none"/>
          <w:lang w:val="en-US" w:eastAsia="zh-CN"/>
        </w:rPr>
        <w:t>业务</w:t>
      </w:r>
      <w:r>
        <w:rPr>
          <w:rFonts w:hint="eastAsia" w:ascii="宋体" w:hAnsi="宋体"/>
          <w:color w:val="auto"/>
          <w:kern w:val="0"/>
          <w:sz w:val="24"/>
          <w:highlight w:val="none"/>
        </w:rPr>
        <w:t>需要，拟开展</w:t>
      </w:r>
      <w:r>
        <w:rPr>
          <w:rFonts w:hint="eastAsia" w:ascii="宋体" w:hAnsi="宋体"/>
          <w:color w:val="auto"/>
          <w:kern w:val="0"/>
          <w:sz w:val="24"/>
          <w:highlight w:val="none"/>
          <w:u w:val="single"/>
          <w:lang w:val="en-US" w:eastAsia="zh-CN"/>
        </w:rPr>
        <w:t>管道材料</w:t>
      </w:r>
      <w:r>
        <w:rPr>
          <w:rFonts w:hint="eastAsia" w:ascii="宋体" w:hAnsi="宋体"/>
          <w:color w:val="auto"/>
          <w:kern w:val="0"/>
          <w:sz w:val="24"/>
          <w:highlight w:val="none"/>
          <w:u w:val="single"/>
        </w:rPr>
        <w:t>类</w:t>
      </w:r>
      <w:r>
        <w:rPr>
          <w:rFonts w:hint="eastAsia" w:ascii="宋体" w:hAnsi="宋体"/>
          <w:color w:val="auto"/>
          <w:kern w:val="0"/>
          <w:sz w:val="24"/>
          <w:highlight w:val="none"/>
          <w:u w:val="none"/>
          <w:lang w:val="en-US" w:eastAsia="zh-CN"/>
        </w:rPr>
        <w:t>合作供应商</w:t>
      </w:r>
      <w:r>
        <w:rPr>
          <w:rFonts w:hint="eastAsia" w:ascii="宋体" w:hAnsi="宋体"/>
          <w:color w:val="auto"/>
          <w:kern w:val="0"/>
          <w:sz w:val="24"/>
          <w:highlight w:val="none"/>
          <w:u w:val="none"/>
        </w:rPr>
        <w:t>选</w:t>
      </w:r>
      <w:r>
        <w:rPr>
          <w:rFonts w:hint="eastAsia" w:ascii="宋体" w:hAnsi="宋体"/>
          <w:color w:val="auto"/>
          <w:kern w:val="0"/>
          <w:sz w:val="24"/>
          <w:highlight w:val="none"/>
        </w:rPr>
        <w:t>择。</w:t>
      </w:r>
      <w:r>
        <w:rPr>
          <w:rFonts w:hint="eastAsia" w:ascii="宋体" w:hAnsi="宋体"/>
          <w:color w:val="auto"/>
          <w:sz w:val="24"/>
          <w:highlight w:val="none"/>
        </w:rPr>
        <w:t>根据《南平武夷</w:t>
      </w:r>
      <w:r>
        <w:rPr>
          <w:rFonts w:hint="eastAsia" w:ascii="宋体" w:hAnsi="宋体"/>
          <w:color w:val="auto"/>
          <w:sz w:val="24"/>
          <w:highlight w:val="none"/>
          <w:lang w:eastAsia="zh-CN"/>
        </w:rPr>
        <w:t>发展</w:t>
      </w:r>
      <w:r>
        <w:rPr>
          <w:rFonts w:hint="eastAsia" w:ascii="宋体" w:hAnsi="宋体"/>
          <w:color w:val="auto"/>
          <w:sz w:val="24"/>
          <w:highlight w:val="none"/>
        </w:rPr>
        <w:t>集团有限公司贸易类大宗物资供应商名录库管理办法（试行）》的规定，现对</w:t>
      </w:r>
      <w:r>
        <w:rPr>
          <w:rFonts w:hint="eastAsia" w:ascii="宋体" w:hAnsi="宋体"/>
          <w:color w:val="auto"/>
          <w:sz w:val="24"/>
          <w:highlight w:val="none"/>
          <w:u w:val="single"/>
          <w:lang w:val="en-US" w:eastAsia="zh-CN"/>
        </w:rPr>
        <w:t>管道材料</w:t>
      </w:r>
      <w:r>
        <w:rPr>
          <w:rFonts w:hint="eastAsia" w:ascii="宋体" w:hAnsi="宋体"/>
          <w:color w:val="auto"/>
          <w:sz w:val="24"/>
          <w:highlight w:val="none"/>
          <w:u w:val="single"/>
        </w:rPr>
        <w:t>类</w:t>
      </w:r>
      <w:r>
        <w:rPr>
          <w:rFonts w:hint="eastAsia" w:ascii="宋体" w:hAnsi="宋体"/>
          <w:color w:val="auto"/>
          <w:sz w:val="24"/>
          <w:highlight w:val="none"/>
          <w:lang w:val="en-US" w:eastAsia="zh-CN"/>
        </w:rPr>
        <w:t>合作供应商</w:t>
      </w:r>
      <w:r>
        <w:rPr>
          <w:rFonts w:hint="eastAsia" w:ascii="宋体" w:hAnsi="宋体"/>
          <w:color w:val="auto"/>
          <w:sz w:val="24"/>
          <w:highlight w:val="none"/>
        </w:rPr>
        <w:t>进行</w:t>
      </w:r>
      <w:r>
        <w:rPr>
          <w:rFonts w:hint="eastAsia" w:ascii="宋体" w:hAnsi="宋体"/>
          <w:color w:val="auto"/>
          <w:sz w:val="24"/>
          <w:highlight w:val="none"/>
          <w:u w:val="single"/>
        </w:rPr>
        <w:t>库内</w:t>
      </w:r>
      <w:r>
        <w:rPr>
          <w:rFonts w:hint="eastAsia" w:ascii="宋体" w:hAnsi="宋体"/>
          <w:color w:val="auto"/>
          <w:sz w:val="24"/>
          <w:highlight w:val="none"/>
        </w:rPr>
        <w:t>公开选择。</w:t>
      </w:r>
    </w:p>
    <w:p>
      <w:pPr>
        <w:pageBreakBefore w:val="0"/>
        <w:kinsoku/>
        <w:wordWrap/>
        <w:overflowPunct/>
        <w:topLinePunct w:val="0"/>
        <w:autoSpaceDE/>
        <w:autoSpaceDN/>
        <w:bidi w:val="0"/>
        <w:adjustRightInd/>
        <w:snapToGrid/>
        <w:spacing w:line="360" w:lineRule="auto"/>
        <w:ind w:firstLine="482" w:firstLineChars="200"/>
        <w:rPr>
          <w:rFonts w:ascii="宋体" w:hAnsi="宋体"/>
          <w:b/>
          <w:color w:val="auto"/>
          <w:sz w:val="24"/>
          <w:highlight w:val="none"/>
        </w:rPr>
      </w:pPr>
      <w:bookmarkStart w:id="4" w:name="_Toc344732467"/>
      <w:bookmarkStart w:id="5" w:name="_Toc234382571"/>
      <w:bookmarkStart w:id="6" w:name="_Toc243796161"/>
      <w:bookmarkStart w:id="7" w:name="_Toc245379317"/>
      <w:r>
        <w:rPr>
          <w:rFonts w:hint="eastAsia" w:ascii="宋体" w:hAnsi="宋体"/>
          <w:b/>
          <w:color w:val="auto"/>
          <w:sz w:val="24"/>
          <w:highlight w:val="none"/>
        </w:rPr>
        <w:t>2.项目概况与选择范围</w:t>
      </w:r>
      <w:bookmarkEnd w:id="4"/>
      <w:bookmarkEnd w:id="5"/>
      <w:bookmarkEnd w:id="6"/>
      <w:bookmarkEnd w:id="7"/>
    </w:p>
    <w:p>
      <w:pPr>
        <w:pageBreakBefore w:val="0"/>
        <w:kinsoku/>
        <w:wordWrap/>
        <w:overflowPunct/>
        <w:topLinePunct w:val="0"/>
        <w:autoSpaceDE/>
        <w:autoSpaceDN/>
        <w:bidi w:val="0"/>
        <w:adjustRightInd/>
        <w:snapToGrid/>
        <w:spacing w:line="360" w:lineRule="auto"/>
        <w:ind w:firstLine="480" w:firstLineChars="200"/>
        <w:rPr>
          <w:rFonts w:hint="eastAsia"/>
          <w:color w:val="auto"/>
          <w:sz w:val="24"/>
          <w:highlight w:val="none"/>
        </w:rPr>
      </w:pPr>
      <w:r>
        <w:rPr>
          <w:rFonts w:hint="eastAsia"/>
          <w:color w:val="auto"/>
          <w:sz w:val="24"/>
          <w:highlight w:val="none"/>
        </w:rPr>
        <w:t xml:space="preserve">2.1  </w:t>
      </w:r>
      <w:bookmarkStart w:id="21" w:name="_GoBack"/>
      <w:bookmarkEnd w:id="21"/>
      <w:r>
        <w:rPr>
          <w:rFonts w:hint="eastAsia"/>
          <w:color w:val="auto"/>
          <w:sz w:val="24"/>
          <w:highlight w:val="none"/>
        </w:rPr>
        <w:t>项目的建设地点：</w:t>
      </w:r>
      <w:r>
        <w:rPr>
          <w:rFonts w:hint="eastAsia"/>
          <w:color w:val="auto"/>
          <w:sz w:val="24"/>
          <w:highlight w:val="none"/>
          <w:u w:val="single"/>
        </w:rPr>
        <w:t>浦城县城区规划区区辖区内</w:t>
      </w:r>
      <w:r>
        <w:rPr>
          <w:rFonts w:hint="eastAsia"/>
          <w:color w:val="auto"/>
          <w:sz w:val="24"/>
          <w:highlight w:val="none"/>
        </w:rPr>
        <w:t>。</w:t>
      </w:r>
    </w:p>
    <w:p>
      <w:pPr>
        <w:pStyle w:val="5"/>
        <w:pageBreakBefore w:val="0"/>
        <w:kinsoku/>
        <w:wordWrap/>
        <w:overflowPunct/>
        <w:topLinePunct w:val="0"/>
        <w:autoSpaceDE/>
        <w:autoSpaceDN/>
        <w:bidi w:val="0"/>
        <w:adjustRightInd/>
        <w:snapToGrid/>
        <w:spacing w:line="360" w:lineRule="auto"/>
        <w:rPr>
          <w:rFonts w:hint="eastAsia" w:eastAsia="宋体"/>
          <w:color w:val="auto"/>
          <w:highlight w:val="none"/>
          <w:lang w:val="en-US" w:eastAsia="zh-CN"/>
        </w:rPr>
      </w:pPr>
      <w:r>
        <w:rPr>
          <w:rFonts w:hint="eastAsia"/>
          <w:color w:val="auto"/>
          <w:sz w:val="24"/>
          <w:highlight w:val="none"/>
          <w:lang w:val="en-US" w:eastAsia="zh-CN"/>
        </w:rPr>
        <w:t>2.2  项目编号：福晖选择【2024】002号</w:t>
      </w:r>
    </w:p>
    <w:p>
      <w:pPr>
        <w:pageBreakBefore w:val="0"/>
        <w:kinsoku/>
        <w:wordWrap/>
        <w:overflowPunct/>
        <w:topLinePunct w:val="0"/>
        <w:autoSpaceDE/>
        <w:autoSpaceDN/>
        <w:bidi w:val="0"/>
        <w:adjustRightInd/>
        <w:snapToGrid/>
        <w:spacing w:line="360" w:lineRule="auto"/>
        <w:ind w:firstLine="480" w:firstLineChars="200"/>
        <w:rPr>
          <w:rFonts w:hint="eastAsia"/>
          <w:color w:val="auto"/>
          <w:sz w:val="24"/>
          <w:highlight w:val="none"/>
        </w:rPr>
      </w:pPr>
      <w:r>
        <w:rPr>
          <w:rFonts w:hint="eastAsia"/>
          <w:color w:val="auto"/>
          <w:sz w:val="24"/>
          <w:highlight w:val="none"/>
        </w:rPr>
        <w:t>2.</w:t>
      </w:r>
      <w:r>
        <w:rPr>
          <w:rFonts w:hint="eastAsia"/>
          <w:color w:val="auto"/>
          <w:sz w:val="24"/>
          <w:highlight w:val="none"/>
          <w:lang w:val="en-US" w:eastAsia="zh-CN"/>
        </w:rPr>
        <w:t>3</w:t>
      </w:r>
      <w:r>
        <w:rPr>
          <w:rFonts w:hint="eastAsia"/>
          <w:color w:val="auto"/>
          <w:sz w:val="24"/>
          <w:highlight w:val="none"/>
        </w:rPr>
        <w:t xml:space="preserve">  项目名称</w:t>
      </w:r>
      <w:r>
        <w:rPr>
          <w:rFonts w:hint="eastAsia"/>
          <w:color w:val="auto"/>
          <w:sz w:val="24"/>
          <w:highlight w:val="none"/>
          <w:lang w:eastAsia="zh-CN"/>
        </w:rPr>
        <w:t>：</w:t>
      </w:r>
      <w:r>
        <w:rPr>
          <w:rFonts w:hint="eastAsia"/>
          <w:color w:val="auto"/>
          <w:sz w:val="24"/>
          <w:highlight w:val="none"/>
          <w:u w:val="single"/>
          <w:lang w:eastAsia="zh-CN"/>
        </w:rPr>
        <w:t>浦城县规划区片区污水管网项目（南浦﹑河滨街道8个片区）</w:t>
      </w:r>
      <w:r>
        <w:rPr>
          <w:rFonts w:hint="eastAsia"/>
          <w:color w:val="auto"/>
          <w:sz w:val="24"/>
          <w:highlight w:val="none"/>
          <w:u w:val="single"/>
          <w:lang w:val="en-US" w:eastAsia="zh-CN"/>
        </w:rPr>
        <w:t>项目管道材料供应商选择</w:t>
      </w:r>
      <w:r>
        <w:rPr>
          <w:rFonts w:hint="eastAsia"/>
          <w:color w:val="auto"/>
          <w:sz w:val="24"/>
          <w:highlight w:val="none"/>
          <w:u w:val="single"/>
        </w:rPr>
        <w:t xml:space="preserve"> </w:t>
      </w:r>
      <w:r>
        <w:rPr>
          <w:rFonts w:hint="eastAsia"/>
          <w:color w:val="auto"/>
          <w:sz w:val="24"/>
          <w:highlight w:val="none"/>
        </w:rPr>
        <w:t>。</w:t>
      </w:r>
    </w:p>
    <w:p>
      <w:pPr>
        <w:pageBreakBefore w:val="0"/>
        <w:kinsoku/>
        <w:wordWrap/>
        <w:overflowPunct/>
        <w:topLinePunct w:val="0"/>
        <w:autoSpaceDE/>
        <w:autoSpaceDN/>
        <w:bidi w:val="0"/>
        <w:adjustRightInd/>
        <w:snapToGrid/>
        <w:spacing w:line="360" w:lineRule="auto"/>
        <w:ind w:firstLine="480" w:firstLineChars="200"/>
        <w:rPr>
          <w:rFonts w:hint="eastAsia"/>
          <w:color w:val="auto"/>
          <w:sz w:val="24"/>
          <w:highlight w:val="none"/>
        </w:rPr>
      </w:pPr>
      <w:r>
        <w:rPr>
          <w:rFonts w:hint="eastAsia"/>
          <w:color w:val="auto"/>
          <w:sz w:val="24"/>
          <w:highlight w:val="none"/>
        </w:rPr>
        <w:t>2.</w:t>
      </w:r>
      <w:r>
        <w:rPr>
          <w:rFonts w:hint="eastAsia"/>
          <w:color w:val="auto"/>
          <w:sz w:val="24"/>
          <w:highlight w:val="none"/>
          <w:lang w:val="en-US" w:eastAsia="zh-CN"/>
        </w:rPr>
        <w:t>4</w:t>
      </w:r>
      <w:r>
        <w:rPr>
          <w:rFonts w:hint="eastAsia"/>
          <w:color w:val="auto"/>
          <w:sz w:val="24"/>
          <w:highlight w:val="none"/>
        </w:rPr>
        <w:t xml:space="preserve">  本次选择内容：</w:t>
      </w:r>
    </w:p>
    <w:tbl>
      <w:tblPr>
        <w:tblStyle w:val="11"/>
        <w:tblW w:w="8760" w:type="dxa"/>
        <w:tblInd w:w="0" w:type="dxa"/>
        <w:tblLayout w:type="fixed"/>
        <w:tblCellMar>
          <w:top w:w="0" w:type="dxa"/>
          <w:left w:w="0" w:type="dxa"/>
          <w:bottom w:w="0" w:type="dxa"/>
          <w:right w:w="0" w:type="dxa"/>
        </w:tblCellMar>
      </w:tblPr>
      <w:tblGrid>
        <w:gridCol w:w="464"/>
        <w:gridCol w:w="1869"/>
        <w:gridCol w:w="2823"/>
        <w:gridCol w:w="464"/>
        <w:gridCol w:w="657"/>
        <w:gridCol w:w="1087"/>
        <w:gridCol w:w="1396"/>
      </w:tblGrid>
      <w:tr>
        <w:tblPrEx>
          <w:tblLayout w:type="fixed"/>
          <w:tblCellMar>
            <w:top w:w="0" w:type="dxa"/>
            <w:left w:w="0" w:type="dxa"/>
            <w:bottom w:w="0" w:type="dxa"/>
            <w:right w:w="0" w:type="dxa"/>
          </w:tblCellMar>
        </w:tblPrEx>
        <w:trPr>
          <w:trHeight w:val="720" w:hRule="atLeast"/>
        </w:trPr>
        <w:tc>
          <w:tcPr>
            <w:tcW w:w="8760" w:type="dxa"/>
            <w:gridSpan w:val="7"/>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采购项目清单</w:t>
            </w:r>
          </w:p>
        </w:tc>
      </w:tr>
      <w:tr>
        <w:tblPrEx>
          <w:tblLayout w:type="fixed"/>
          <w:tblCellMar>
            <w:top w:w="0" w:type="dxa"/>
            <w:left w:w="0" w:type="dxa"/>
            <w:bottom w:w="0" w:type="dxa"/>
            <w:right w:w="0" w:type="dxa"/>
          </w:tblCellMar>
        </w:tblPrEx>
        <w:trPr>
          <w:trHeight w:val="312" w:hRule="atLeast"/>
        </w:trPr>
        <w:tc>
          <w:tcPr>
            <w:tcW w:w="8760" w:type="dxa"/>
            <w:gridSpan w:val="7"/>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auto"/>
                <w:sz w:val="24"/>
                <w:szCs w:val="24"/>
                <w:u w:val="none"/>
              </w:rPr>
            </w:pPr>
          </w:p>
        </w:tc>
      </w:tr>
      <w:tr>
        <w:tblPrEx>
          <w:tblLayout w:type="fixed"/>
          <w:tblCellMar>
            <w:top w:w="0" w:type="dxa"/>
            <w:left w:w="0" w:type="dxa"/>
            <w:bottom w:w="0" w:type="dxa"/>
            <w:right w:w="0" w:type="dxa"/>
          </w:tblCellMar>
        </w:tblPrEx>
        <w:trPr>
          <w:trHeight w:val="1240" w:hRule="atLeast"/>
        </w:trPr>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序号</w:t>
            </w:r>
          </w:p>
        </w:tc>
        <w:tc>
          <w:tcPr>
            <w:tcW w:w="1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商品名称</w:t>
            </w:r>
          </w:p>
        </w:tc>
        <w:tc>
          <w:tcPr>
            <w:tcW w:w="2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规格</w:t>
            </w:r>
          </w:p>
        </w:tc>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单位</w:t>
            </w:r>
          </w:p>
        </w:tc>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数量（估算）</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控制单价（元/米，含税）</w:t>
            </w:r>
          </w:p>
        </w:tc>
        <w:tc>
          <w:tcPr>
            <w:tcW w:w="1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控制总价（元，含税）</w:t>
            </w:r>
          </w:p>
        </w:tc>
      </w:tr>
      <w:tr>
        <w:tblPrEx>
          <w:tblLayout w:type="fixed"/>
          <w:tblCellMar>
            <w:top w:w="0" w:type="dxa"/>
            <w:left w:w="0" w:type="dxa"/>
            <w:bottom w:w="0" w:type="dxa"/>
            <w:right w:w="0" w:type="dxa"/>
          </w:tblCellMar>
        </w:tblPrEx>
        <w:trPr>
          <w:trHeight w:val="1080" w:hRule="atLeast"/>
        </w:trPr>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186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HDPE双壁波纹管</w:t>
            </w:r>
          </w:p>
        </w:tc>
        <w:tc>
          <w:tcPr>
            <w:tcW w:w="2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DN200 环刚度SN≥8KN/m2</w:t>
            </w:r>
          </w:p>
        </w:tc>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m</w:t>
            </w:r>
          </w:p>
        </w:tc>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800</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20.99 </w:t>
            </w:r>
          </w:p>
        </w:tc>
        <w:tc>
          <w:tcPr>
            <w:tcW w:w="1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16792.00 </w:t>
            </w:r>
          </w:p>
        </w:tc>
      </w:tr>
      <w:tr>
        <w:tblPrEx>
          <w:tblLayout w:type="fixed"/>
          <w:tblCellMar>
            <w:top w:w="0" w:type="dxa"/>
            <w:left w:w="0" w:type="dxa"/>
            <w:bottom w:w="0" w:type="dxa"/>
            <w:right w:w="0" w:type="dxa"/>
          </w:tblCellMar>
        </w:tblPrEx>
        <w:trPr>
          <w:trHeight w:val="90" w:hRule="atLeast"/>
        </w:trPr>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186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HDPE双壁波纹管</w:t>
            </w:r>
          </w:p>
        </w:tc>
        <w:tc>
          <w:tcPr>
            <w:tcW w:w="2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DN300 环刚度SN≥8KN/m2</w:t>
            </w:r>
          </w:p>
        </w:tc>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m</w:t>
            </w:r>
          </w:p>
        </w:tc>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800</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49.15 </w:t>
            </w:r>
          </w:p>
        </w:tc>
        <w:tc>
          <w:tcPr>
            <w:tcW w:w="1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39320.00 </w:t>
            </w:r>
          </w:p>
        </w:tc>
      </w:tr>
      <w:tr>
        <w:tblPrEx>
          <w:tblLayout w:type="fixed"/>
          <w:tblCellMar>
            <w:top w:w="0" w:type="dxa"/>
            <w:left w:w="0" w:type="dxa"/>
            <w:bottom w:w="0" w:type="dxa"/>
            <w:right w:w="0" w:type="dxa"/>
          </w:tblCellMar>
        </w:tblPrEx>
        <w:trPr>
          <w:trHeight w:val="990" w:hRule="atLeast"/>
        </w:trPr>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186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HDPE双壁波纹管</w:t>
            </w:r>
          </w:p>
        </w:tc>
        <w:tc>
          <w:tcPr>
            <w:tcW w:w="2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DN400 环刚度SN≥8KN/m2</w:t>
            </w:r>
          </w:p>
        </w:tc>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m</w:t>
            </w:r>
          </w:p>
        </w:tc>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800</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81.84 </w:t>
            </w:r>
          </w:p>
        </w:tc>
        <w:tc>
          <w:tcPr>
            <w:tcW w:w="1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65472.00 </w:t>
            </w:r>
          </w:p>
        </w:tc>
      </w:tr>
      <w:tr>
        <w:tblPrEx>
          <w:tblLayout w:type="fixed"/>
          <w:tblCellMar>
            <w:top w:w="0" w:type="dxa"/>
            <w:left w:w="0" w:type="dxa"/>
            <w:bottom w:w="0" w:type="dxa"/>
            <w:right w:w="0" w:type="dxa"/>
          </w:tblCellMar>
        </w:tblPrEx>
        <w:trPr>
          <w:trHeight w:val="945" w:hRule="atLeast"/>
        </w:trPr>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186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HDPE双壁波纹管</w:t>
            </w:r>
          </w:p>
        </w:tc>
        <w:tc>
          <w:tcPr>
            <w:tcW w:w="2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DN500 环刚度SN≥8KN/m2</w:t>
            </w:r>
          </w:p>
        </w:tc>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m</w:t>
            </w:r>
          </w:p>
        </w:tc>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800</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115.89 </w:t>
            </w:r>
          </w:p>
        </w:tc>
        <w:tc>
          <w:tcPr>
            <w:tcW w:w="1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92712.00 </w:t>
            </w:r>
          </w:p>
        </w:tc>
      </w:tr>
      <w:tr>
        <w:tblPrEx>
          <w:tblLayout w:type="fixed"/>
          <w:tblCellMar>
            <w:top w:w="0" w:type="dxa"/>
            <w:left w:w="0" w:type="dxa"/>
            <w:bottom w:w="0" w:type="dxa"/>
            <w:right w:w="0" w:type="dxa"/>
          </w:tblCellMar>
        </w:tblPrEx>
        <w:trPr>
          <w:trHeight w:val="890" w:hRule="atLeast"/>
        </w:trPr>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c>
          <w:tcPr>
            <w:tcW w:w="186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HDPE双壁波纹管</w:t>
            </w:r>
          </w:p>
        </w:tc>
        <w:tc>
          <w:tcPr>
            <w:tcW w:w="2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DN600 环刚度SN≥8KN/m2</w:t>
            </w:r>
          </w:p>
        </w:tc>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m</w:t>
            </w:r>
          </w:p>
        </w:tc>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800</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162.25 </w:t>
            </w:r>
          </w:p>
        </w:tc>
        <w:tc>
          <w:tcPr>
            <w:tcW w:w="1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129800.00 </w:t>
            </w:r>
          </w:p>
        </w:tc>
      </w:tr>
      <w:tr>
        <w:tblPrEx>
          <w:tblLayout w:type="fixed"/>
          <w:tblCellMar>
            <w:top w:w="0" w:type="dxa"/>
            <w:left w:w="0" w:type="dxa"/>
            <w:bottom w:w="0" w:type="dxa"/>
            <w:right w:w="0" w:type="dxa"/>
          </w:tblCellMar>
        </w:tblPrEx>
        <w:trPr>
          <w:trHeight w:val="840" w:hRule="atLeast"/>
        </w:trPr>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186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HDPE缠绕结构壁管</w:t>
            </w:r>
          </w:p>
        </w:tc>
        <w:tc>
          <w:tcPr>
            <w:tcW w:w="2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环刚度SN10-DN300</w:t>
            </w:r>
          </w:p>
        </w:tc>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m</w:t>
            </w:r>
          </w:p>
        </w:tc>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9600</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120.93 </w:t>
            </w:r>
          </w:p>
        </w:tc>
        <w:tc>
          <w:tcPr>
            <w:tcW w:w="1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1160928.00 </w:t>
            </w:r>
          </w:p>
        </w:tc>
      </w:tr>
      <w:tr>
        <w:tblPrEx>
          <w:tblLayout w:type="fixed"/>
          <w:tblCellMar>
            <w:top w:w="0" w:type="dxa"/>
            <w:left w:w="0" w:type="dxa"/>
            <w:bottom w:w="0" w:type="dxa"/>
            <w:right w:w="0" w:type="dxa"/>
          </w:tblCellMar>
        </w:tblPrEx>
        <w:trPr>
          <w:trHeight w:val="990" w:hRule="atLeast"/>
        </w:trPr>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w:t>
            </w:r>
          </w:p>
        </w:tc>
        <w:tc>
          <w:tcPr>
            <w:tcW w:w="186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HDPE缠绕结构壁管</w:t>
            </w:r>
          </w:p>
        </w:tc>
        <w:tc>
          <w:tcPr>
            <w:tcW w:w="2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环刚度SN10-DN225</w:t>
            </w:r>
          </w:p>
        </w:tc>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m</w:t>
            </w:r>
          </w:p>
        </w:tc>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4000</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83.50 </w:t>
            </w:r>
          </w:p>
        </w:tc>
        <w:tc>
          <w:tcPr>
            <w:tcW w:w="1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334000.00 </w:t>
            </w:r>
          </w:p>
        </w:tc>
      </w:tr>
      <w:tr>
        <w:tblPrEx>
          <w:tblLayout w:type="fixed"/>
          <w:tblCellMar>
            <w:top w:w="0" w:type="dxa"/>
            <w:left w:w="0" w:type="dxa"/>
            <w:bottom w:w="0" w:type="dxa"/>
            <w:right w:w="0" w:type="dxa"/>
          </w:tblCellMar>
        </w:tblPrEx>
        <w:trPr>
          <w:trHeight w:val="930" w:hRule="atLeast"/>
        </w:trPr>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w:t>
            </w:r>
          </w:p>
        </w:tc>
        <w:tc>
          <w:tcPr>
            <w:tcW w:w="186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HDPE缠绕结构壁管</w:t>
            </w:r>
          </w:p>
        </w:tc>
        <w:tc>
          <w:tcPr>
            <w:tcW w:w="2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环刚度SN10-DN400</w:t>
            </w:r>
          </w:p>
        </w:tc>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m</w:t>
            </w:r>
          </w:p>
        </w:tc>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3200</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197.95 </w:t>
            </w:r>
          </w:p>
        </w:tc>
        <w:tc>
          <w:tcPr>
            <w:tcW w:w="1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633440.00 </w:t>
            </w:r>
          </w:p>
        </w:tc>
      </w:tr>
      <w:tr>
        <w:tblPrEx>
          <w:tblLayout w:type="fixed"/>
          <w:tblCellMar>
            <w:top w:w="0" w:type="dxa"/>
            <w:left w:w="0" w:type="dxa"/>
            <w:bottom w:w="0" w:type="dxa"/>
            <w:right w:w="0" w:type="dxa"/>
          </w:tblCellMar>
        </w:tblPrEx>
        <w:trPr>
          <w:trHeight w:val="795" w:hRule="atLeast"/>
        </w:trPr>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w:t>
            </w:r>
          </w:p>
        </w:tc>
        <w:tc>
          <w:tcPr>
            <w:tcW w:w="186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HDPE缠绕结构壁管</w:t>
            </w:r>
          </w:p>
        </w:tc>
        <w:tc>
          <w:tcPr>
            <w:tcW w:w="2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环刚度SN10-DN500</w:t>
            </w:r>
          </w:p>
        </w:tc>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m</w:t>
            </w:r>
          </w:p>
        </w:tc>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1200</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259.13 </w:t>
            </w:r>
          </w:p>
        </w:tc>
        <w:tc>
          <w:tcPr>
            <w:tcW w:w="1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310956.00 </w:t>
            </w:r>
          </w:p>
        </w:tc>
      </w:tr>
      <w:tr>
        <w:tblPrEx>
          <w:tblLayout w:type="fixed"/>
          <w:tblCellMar>
            <w:top w:w="0" w:type="dxa"/>
            <w:left w:w="0" w:type="dxa"/>
            <w:bottom w:w="0" w:type="dxa"/>
            <w:right w:w="0" w:type="dxa"/>
          </w:tblCellMar>
        </w:tblPrEx>
        <w:trPr>
          <w:trHeight w:val="735" w:hRule="atLeast"/>
        </w:trPr>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w:t>
            </w:r>
          </w:p>
        </w:tc>
        <w:tc>
          <w:tcPr>
            <w:tcW w:w="186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HDPE缠绕结构壁管</w:t>
            </w:r>
          </w:p>
        </w:tc>
        <w:tc>
          <w:tcPr>
            <w:tcW w:w="2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环刚度SN10-DN600</w:t>
            </w:r>
          </w:p>
        </w:tc>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m</w:t>
            </w:r>
          </w:p>
        </w:tc>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400</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444.84 </w:t>
            </w:r>
          </w:p>
        </w:tc>
        <w:tc>
          <w:tcPr>
            <w:tcW w:w="1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177936.00 </w:t>
            </w:r>
          </w:p>
        </w:tc>
      </w:tr>
      <w:tr>
        <w:tblPrEx>
          <w:tblLayout w:type="fixed"/>
          <w:tblCellMar>
            <w:top w:w="0" w:type="dxa"/>
            <w:left w:w="0" w:type="dxa"/>
            <w:bottom w:w="0" w:type="dxa"/>
            <w:right w:w="0" w:type="dxa"/>
          </w:tblCellMar>
        </w:tblPrEx>
        <w:trPr>
          <w:trHeight w:val="750" w:hRule="atLeast"/>
        </w:trPr>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11</w:t>
            </w:r>
          </w:p>
        </w:tc>
        <w:tc>
          <w:tcPr>
            <w:tcW w:w="186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HDPE缠绕结构壁管</w:t>
            </w:r>
          </w:p>
        </w:tc>
        <w:tc>
          <w:tcPr>
            <w:tcW w:w="2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环刚度SN10-DN800</w:t>
            </w:r>
          </w:p>
        </w:tc>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m</w:t>
            </w:r>
          </w:p>
        </w:tc>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400</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711.89 </w:t>
            </w:r>
          </w:p>
        </w:tc>
        <w:tc>
          <w:tcPr>
            <w:tcW w:w="1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284756.00 </w:t>
            </w:r>
          </w:p>
        </w:tc>
      </w:tr>
      <w:tr>
        <w:tblPrEx>
          <w:tblLayout w:type="fixed"/>
          <w:tblCellMar>
            <w:top w:w="0" w:type="dxa"/>
            <w:left w:w="0" w:type="dxa"/>
            <w:bottom w:w="0" w:type="dxa"/>
            <w:right w:w="0" w:type="dxa"/>
          </w:tblCellMar>
        </w:tblPrEx>
        <w:trPr>
          <w:trHeight w:val="810" w:hRule="atLeast"/>
        </w:trPr>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w:t>
            </w:r>
          </w:p>
        </w:tc>
        <w:tc>
          <w:tcPr>
            <w:tcW w:w="186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HDPE增强缠绕管B型结构壁</w:t>
            </w:r>
          </w:p>
        </w:tc>
        <w:tc>
          <w:tcPr>
            <w:tcW w:w="2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DN200,环刚度为8KN/m2</w:t>
            </w:r>
          </w:p>
        </w:tc>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m</w:t>
            </w:r>
          </w:p>
        </w:tc>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4000</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83.50 </w:t>
            </w:r>
          </w:p>
        </w:tc>
        <w:tc>
          <w:tcPr>
            <w:tcW w:w="1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334000.00 </w:t>
            </w:r>
          </w:p>
        </w:tc>
      </w:tr>
      <w:tr>
        <w:tblPrEx>
          <w:tblLayout w:type="fixed"/>
          <w:tblCellMar>
            <w:top w:w="0" w:type="dxa"/>
            <w:left w:w="0" w:type="dxa"/>
            <w:bottom w:w="0" w:type="dxa"/>
            <w:right w:w="0" w:type="dxa"/>
          </w:tblCellMar>
        </w:tblPrEx>
        <w:trPr>
          <w:trHeight w:val="705" w:hRule="atLeast"/>
        </w:trPr>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13</w:t>
            </w:r>
          </w:p>
        </w:tc>
        <w:tc>
          <w:tcPr>
            <w:tcW w:w="186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HDPE增强缠绕管B型结构壁</w:t>
            </w:r>
          </w:p>
        </w:tc>
        <w:tc>
          <w:tcPr>
            <w:tcW w:w="2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DN300,环刚度为8KN/m2</w:t>
            </w:r>
          </w:p>
        </w:tc>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m</w:t>
            </w:r>
          </w:p>
        </w:tc>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9600</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94.30 </w:t>
            </w:r>
          </w:p>
        </w:tc>
        <w:tc>
          <w:tcPr>
            <w:tcW w:w="1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905280.00 </w:t>
            </w:r>
          </w:p>
        </w:tc>
      </w:tr>
      <w:tr>
        <w:tblPrEx>
          <w:tblLayout w:type="fixed"/>
          <w:tblCellMar>
            <w:top w:w="0" w:type="dxa"/>
            <w:left w:w="0" w:type="dxa"/>
            <w:bottom w:w="0" w:type="dxa"/>
            <w:right w:w="0" w:type="dxa"/>
          </w:tblCellMar>
        </w:tblPrEx>
        <w:trPr>
          <w:trHeight w:val="900" w:hRule="atLeast"/>
        </w:trPr>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14</w:t>
            </w:r>
          </w:p>
        </w:tc>
        <w:tc>
          <w:tcPr>
            <w:tcW w:w="186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HDPE增强缠绕管B型结构壁</w:t>
            </w:r>
          </w:p>
        </w:tc>
        <w:tc>
          <w:tcPr>
            <w:tcW w:w="2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DN400,环刚度为8KN/m2</w:t>
            </w:r>
          </w:p>
        </w:tc>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m</w:t>
            </w:r>
          </w:p>
        </w:tc>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2400</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162.68 </w:t>
            </w:r>
          </w:p>
        </w:tc>
        <w:tc>
          <w:tcPr>
            <w:tcW w:w="1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390432.00 </w:t>
            </w:r>
          </w:p>
        </w:tc>
      </w:tr>
      <w:tr>
        <w:tblPrEx>
          <w:tblLayout w:type="fixed"/>
          <w:tblCellMar>
            <w:top w:w="0" w:type="dxa"/>
            <w:left w:w="0" w:type="dxa"/>
            <w:bottom w:w="0" w:type="dxa"/>
            <w:right w:w="0" w:type="dxa"/>
          </w:tblCellMar>
        </w:tblPrEx>
        <w:trPr>
          <w:trHeight w:val="870" w:hRule="atLeast"/>
        </w:trPr>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w:t>
            </w:r>
          </w:p>
        </w:tc>
        <w:tc>
          <w:tcPr>
            <w:tcW w:w="186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HDPE增强缠绕管B型结构壁</w:t>
            </w:r>
          </w:p>
        </w:tc>
        <w:tc>
          <w:tcPr>
            <w:tcW w:w="2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DN500,环刚度为8KN/m2</w:t>
            </w:r>
          </w:p>
        </w:tc>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m</w:t>
            </w:r>
          </w:p>
        </w:tc>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1200</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248.33 </w:t>
            </w:r>
          </w:p>
        </w:tc>
        <w:tc>
          <w:tcPr>
            <w:tcW w:w="1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297996.00 </w:t>
            </w:r>
          </w:p>
        </w:tc>
      </w:tr>
      <w:tr>
        <w:tblPrEx>
          <w:tblLayout w:type="fixed"/>
          <w:tblCellMar>
            <w:top w:w="0" w:type="dxa"/>
            <w:left w:w="0" w:type="dxa"/>
            <w:bottom w:w="0" w:type="dxa"/>
            <w:right w:w="0" w:type="dxa"/>
          </w:tblCellMar>
        </w:tblPrEx>
        <w:trPr>
          <w:trHeight w:val="570" w:hRule="atLeast"/>
        </w:trPr>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16</w:t>
            </w:r>
          </w:p>
        </w:tc>
        <w:tc>
          <w:tcPr>
            <w:tcW w:w="186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钢塑复合管</w:t>
            </w:r>
          </w:p>
        </w:tc>
        <w:tc>
          <w:tcPr>
            <w:tcW w:w="2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DN50（1.0Mpa)</w:t>
            </w:r>
          </w:p>
        </w:tc>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m</w:t>
            </w:r>
          </w:p>
        </w:tc>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4000</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32.39 </w:t>
            </w:r>
          </w:p>
        </w:tc>
        <w:tc>
          <w:tcPr>
            <w:tcW w:w="1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129560.00 </w:t>
            </w:r>
          </w:p>
        </w:tc>
      </w:tr>
      <w:tr>
        <w:tblPrEx>
          <w:tblLayout w:type="fixed"/>
          <w:tblCellMar>
            <w:top w:w="0" w:type="dxa"/>
            <w:left w:w="0" w:type="dxa"/>
            <w:bottom w:w="0" w:type="dxa"/>
            <w:right w:w="0" w:type="dxa"/>
          </w:tblCellMar>
        </w:tblPrEx>
        <w:trPr>
          <w:trHeight w:val="825" w:hRule="atLeast"/>
        </w:trPr>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17</w:t>
            </w:r>
          </w:p>
        </w:tc>
        <w:tc>
          <w:tcPr>
            <w:tcW w:w="186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钢丝网骨架塑料PE复合管</w:t>
            </w:r>
          </w:p>
        </w:tc>
        <w:tc>
          <w:tcPr>
            <w:tcW w:w="2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DN100</w:t>
            </w:r>
            <w:r>
              <w:rPr>
                <w:rFonts w:hint="eastAsia" w:ascii="宋体" w:hAnsi="宋体" w:eastAsia="宋体" w:cs="宋体"/>
                <w:i w:val="0"/>
                <w:color w:val="auto"/>
                <w:kern w:val="0"/>
                <w:sz w:val="24"/>
                <w:szCs w:val="24"/>
                <w:u w:val="none"/>
                <w:lang w:val="en-US" w:eastAsia="zh-CN" w:bidi="ar"/>
              </w:rPr>
              <w:t>（1.25Mpa）</w:t>
            </w:r>
          </w:p>
        </w:tc>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m</w:t>
            </w:r>
          </w:p>
        </w:tc>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4800</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46.79 </w:t>
            </w:r>
          </w:p>
        </w:tc>
        <w:tc>
          <w:tcPr>
            <w:tcW w:w="1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224592.00 </w:t>
            </w:r>
          </w:p>
        </w:tc>
      </w:tr>
      <w:tr>
        <w:tblPrEx>
          <w:tblLayout w:type="fixed"/>
          <w:tblCellMar>
            <w:top w:w="0" w:type="dxa"/>
            <w:left w:w="0" w:type="dxa"/>
            <w:bottom w:w="0" w:type="dxa"/>
            <w:right w:w="0" w:type="dxa"/>
          </w:tblCellMar>
        </w:tblPrEx>
        <w:trPr>
          <w:trHeight w:val="735" w:hRule="atLeast"/>
        </w:trPr>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18</w:t>
            </w:r>
          </w:p>
        </w:tc>
        <w:tc>
          <w:tcPr>
            <w:tcW w:w="186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钢丝网骨架塑料PE复合管</w:t>
            </w:r>
          </w:p>
        </w:tc>
        <w:tc>
          <w:tcPr>
            <w:tcW w:w="2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DN150</w:t>
            </w:r>
            <w:r>
              <w:rPr>
                <w:rFonts w:hint="eastAsia" w:ascii="宋体" w:hAnsi="宋体" w:eastAsia="宋体" w:cs="宋体"/>
                <w:i w:val="0"/>
                <w:color w:val="auto"/>
                <w:kern w:val="0"/>
                <w:sz w:val="24"/>
                <w:szCs w:val="24"/>
                <w:u w:val="none"/>
                <w:lang w:val="en-US" w:eastAsia="zh-CN" w:bidi="ar"/>
              </w:rPr>
              <w:t>（1.25Mpa）</w:t>
            </w:r>
          </w:p>
        </w:tc>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m</w:t>
            </w:r>
          </w:p>
        </w:tc>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3200</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74.14 </w:t>
            </w:r>
          </w:p>
        </w:tc>
        <w:tc>
          <w:tcPr>
            <w:tcW w:w="1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237248.00 </w:t>
            </w:r>
          </w:p>
        </w:tc>
      </w:tr>
      <w:tr>
        <w:tblPrEx>
          <w:tblLayout w:type="fixed"/>
          <w:tblCellMar>
            <w:top w:w="0" w:type="dxa"/>
            <w:left w:w="0" w:type="dxa"/>
            <w:bottom w:w="0" w:type="dxa"/>
            <w:right w:w="0" w:type="dxa"/>
          </w:tblCellMar>
        </w:tblPrEx>
        <w:trPr>
          <w:trHeight w:val="795" w:hRule="atLeast"/>
        </w:trPr>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19</w:t>
            </w:r>
          </w:p>
        </w:tc>
        <w:tc>
          <w:tcPr>
            <w:tcW w:w="186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UPVC排水管</w:t>
            </w:r>
          </w:p>
        </w:tc>
        <w:tc>
          <w:tcPr>
            <w:tcW w:w="2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Φ110</w:t>
            </w:r>
          </w:p>
        </w:tc>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m</w:t>
            </w:r>
          </w:p>
        </w:tc>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6400</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11.45 </w:t>
            </w:r>
          </w:p>
        </w:tc>
        <w:tc>
          <w:tcPr>
            <w:tcW w:w="1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73280.00 </w:t>
            </w:r>
          </w:p>
        </w:tc>
      </w:tr>
      <w:tr>
        <w:tblPrEx>
          <w:tblLayout w:type="fixed"/>
          <w:tblCellMar>
            <w:top w:w="0" w:type="dxa"/>
            <w:left w:w="0" w:type="dxa"/>
            <w:bottom w:w="0" w:type="dxa"/>
            <w:right w:w="0" w:type="dxa"/>
          </w:tblCellMar>
        </w:tblPrEx>
        <w:trPr>
          <w:trHeight w:val="750" w:hRule="atLeast"/>
        </w:trPr>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w:t>
            </w:r>
          </w:p>
        </w:tc>
        <w:tc>
          <w:tcPr>
            <w:tcW w:w="186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UPVC雨水管</w:t>
            </w:r>
          </w:p>
        </w:tc>
        <w:tc>
          <w:tcPr>
            <w:tcW w:w="2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Φ110</w:t>
            </w:r>
          </w:p>
        </w:tc>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m</w:t>
            </w:r>
          </w:p>
        </w:tc>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9600</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11.45 </w:t>
            </w:r>
          </w:p>
        </w:tc>
        <w:tc>
          <w:tcPr>
            <w:tcW w:w="1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109920.00 </w:t>
            </w:r>
          </w:p>
        </w:tc>
      </w:tr>
      <w:tr>
        <w:tblPrEx>
          <w:tblLayout w:type="fixed"/>
          <w:tblCellMar>
            <w:top w:w="0" w:type="dxa"/>
            <w:left w:w="0" w:type="dxa"/>
            <w:bottom w:w="0" w:type="dxa"/>
            <w:right w:w="0" w:type="dxa"/>
          </w:tblCellMar>
        </w:tblPrEx>
        <w:trPr>
          <w:trHeight w:val="600" w:hRule="atLeast"/>
        </w:trPr>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21</w:t>
            </w:r>
          </w:p>
        </w:tc>
        <w:tc>
          <w:tcPr>
            <w:tcW w:w="186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UPVC排水管</w:t>
            </w:r>
          </w:p>
        </w:tc>
        <w:tc>
          <w:tcPr>
            <w:tcW w:w="2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Φ160</w:t>
            </w:r>
          </w:p>
        </w:tc>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m</w:t>
            </w:r>
          </w:p>
        </w:tc>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6400</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23.03 </w:t>
            </w:r>
          </w:p>
        </w:tc>
        <w:tc>
          <w:tcPr>
            <w:tcW w:w="1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147392.00 </w:t>
            </w:r>
          </w:p>
        </w:tc>
      </w:tr>
      <w:tr>
        <w:tblPrEx>
          <w:tblLayout w:type="fixed"/>
          <w:tblCellMar>
            <w:top w:w="0" w:type="dxa"/>
            <w:left w:w="0" w:type="dxa"/>
            <w:bottom w:w="0" w:type="dxa"/>
            <w:right w:w="0" w:type="dxa"/>
          </w:tblCellMar>
        </w:tblPrEx>
        <w:trPr>
          <w:trHeight w:val="570" w:hRule="atLeast"/>
        </w:trPr>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22</w:t>
            </w:r>
          </w:p>
        </w:tc>
        <w:tc>
          <w:tcPr>
            <w:tcW w:w="186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UPVC排水管</w:t>
            </w:r>
          </w:p>
        </w:tc>
        <w:tc>
          <w:tcPr>
            <w:tcW w:w="2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Φ200</w:t>
            </w:r>
          </w:p>
        </w:tc>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m</w:t>
            </w:r>
          </w:p>
        </w:tc>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6400</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47.22 </w:t>
            </w:r>
          </w:p>
        </w:tc>
        <w:tc>
          <w:tcPr>
            <w:tcW w:w="1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302208.00 </w:t>
            </w:r>
          </w:p>
        </w:tc>
      </w:tr>
      <w:tr>
        <w:tblPrEx>
          <w:tblLayout w:type="fixed"/>
          <w:tblCellMar>
            <w:top w:w="0" w:type="dxa"/>
            <w:left w:w="0" w:type="dxa"/>
            <w:bottom w:w="0" w:type="dxa"/>
            <w:right w:w="0" w:type="dxa"/>
          </w:tblCellMar>
        </w:tblPrEx>
        <w:trPr>
          <w:trHeight w:val="645" w:hRule="atLeast"/>
        </w:trPr>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23</w:t>
            </w:r>
          </w:p>
        </w:tc>
        <w:tc>
          <w:tcPr>
            <w:tcW w:w="186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塑料检查井</w:t>
            </w:r>
          </w:p>
        </w:tc>
        <w:tc>
          <w:tcPr>
            <w:tcW w:w="2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包含井筒-井深1m-φ315</w:t>
            </w:r>
          </w:p>
        </w:tc>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套</w:t>
            </w:r>
          </w:p>
        </w:tc>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400</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313.12 </w:t>
            </w:r>
          </w:p>
        </w:tc>
        <w:tc>
          <w:tcPr>
            <w:tcW w:w="1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125248.00 </w:t>
            </w:r>
          </w:p>
        </w:tc>
      </w:tr>
      <w:tr>
        <w:tblPrEx>
          <w:tblLayout w:type="fixed"/>
          <w:tblCellMar>
            <w:top w:w="0" w:type="dxa"/>
            <w:left w:w="0" w:type="dxa"/>
            <w:bottom w:w="0" w:type="dxa"/>
            <w:right w:w="0" w:type="dxa"/>
          </w:tblCellMar>
        </w:tblPrEx>
        <w:trPr>
          <w:trHeight w:val="915" w:hRule="atLeast"/>
        </w:trPr>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24</w:t>
            </w:r>
          </w:p>
        </w:tc>
        <w:tc>
          <w:tcPr>
            <w:tcW w:w="186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塑料检查井</w:t>
            </w:r>
          </w:p>
        </w:tc>
        <w:tc>
          <w:tcPr>
            <w:tcW w:w="2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包含井筒-井深1.2m-φ315</w:t>
            </w:r>
          </w:p>
        </w:tc>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套</w:t>
            </w:r>
          </w:p>
        </w:tc>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480</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327.52 </w:t>
            </w:r>
          </w:p>
        </w:tc>
        <w:tc>
          <w:tcPr>
            <w:tcW w:w="1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157209.60 </w:t>
            </w:r>
          </w:p>
        </w:tc>
      </w:tr>
      <w:tr>
        <w:tblPrEx>
          <w:tblLayout w:type="fixed"/>
          <w:tblCellMar>
            <w:top w:w="0" w:type="dxa"/>
            <w:left w:w="0" w:type="dxa"/>
            <w:bottom w:w="0" w:type="dxa"/>
            <w:right w:w="0" w:type="dxa"/>
          </w:tblCellMar>
        </w:tblPrEx>
        <w:trPr>
          <w:trHeight w:val="750" w:hRule="atLeast"/>
        </w:trPr>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25</w:t>
            </w:r>
          </w:p>
        </w:tc>
        <w:tc>
          <w:tcPr>
            <w:tcW w:w="186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塑料检查井</w:t>
            </w:r>
          </w:p>
        </w:tc>
        <w:tc>
          <w:tcPr>
            <w:tcW w:w="2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包含井筒-井深1.5m-φ315</w:t>
            </w:r>
          </w:p>
        </w:tc>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套</w:t>
            </w:r>
          </w:p>
        </w:tc>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400</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359.91 </w:t>
            </w:r>
          </w:p>
        </w:tc>
        <w:tc>
          <w:tcPr>
            <w:tcW w:w="1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143964.00 </w:t>
            </w:r>
          </w:p>
        </w:tc>
      </w:tr>
      <w:tr>
        <w:tblPrEx>
          <w:tblLayout w:type="fixed"/>
          <w:tblCellMar>
            <w:top w:w="0" w:type="dxa"/>
            <w:left w:w="0" w:type="dxa"/>
            <w:bottom w:w="0" w:type="dxa"/>
            <w:right w:w="0" w:type="dxa"/>
          </w:tblCellMar>
        </w:tblPrEx>
        <w:trPr>
          <w:trHeight w:val="675" w:hRule="atLeast"/>
        </w:trPr>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26</w:t>
            </w:r>
          </w:p>
        </w:tc>
        <w:tc>
          <w:tcPr>
            <w:tcW w:w="186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塑料检查井</w:t>
            </w:r>
          </w:p>
        </w:tc>
        <w:tc>
          <w:tcPr>
            <w:tcW w:w="2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包含井筒-井深1.6m-φ315</w:t>
            </w:r>
          </w:p>
        </w:tc>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套</w:t>
            </w:r>
          </w:p>
        </w:tc>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240</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359.91 </w:t>
            </w:r>
          </w:p>
        </w:tc>
        <w:tc>
          <w:tcPr>
            <w:tcW w:w="1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86378.40 </w:t>
            </w:r>
          </w:p>
        </w:tc>
      </w:tr>
      <w:tr>
        <w:tblPrEx>
          <w:tblLayout w:type="fixed"/>
          <w:tblCellMar>
            <w:top w:w="0" w:type="dxa"/>
            <w:left w:w="0" w:type="dxa"/>
            <w:bottom w:w="0" w:type="dxa"/>
            <w:right w:w="0" w:type="dxa"/>
          </w:tblCellMar>
        </w:tblPrEx>
        <w:trPr>
          <w:trHeight w:val="690" w:hRule="atLeast"/>
        </w:trPr>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27</w:t>
            </w:r>
          </w:p>
        </w:tc>
        <w:tc>
          <w:tcPr>
            <w:tcW w:w="186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塑料检查井</w:t>
            </w:r>
          </w:p>
        </w:tc>
        <w:tc>
          <w:tcPr>
            <w:tcW w:w="2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包含井筒-井深1.5m-DN450</w:t>
            </w:r>
          </w:p>
        </w:tc>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套</w:t>
            </w:r>
          </w:p>
        </w:tc>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160</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539.86 </w:t>
            </w:r>
          </w:p>
        </w:tc>
        <w:tc>
          <w:tcPr>
            <w:tcW w:w="1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86377.60 </w:t>
            </w:r>
          </w:p>
        </w:tc>
      </w:tr>
      <w:tr>
        <w:tblPrEx>
          <w:tblLayout w:type="fixed"/>
          <w:tblCellMar>
            <w:top w:w="0" w:type="dxa"/>
            <w:left w:w="0" w:type="dxa"/>
            <w:bottom w:w="0" w:type="dxa"/>
            <w:right w:w="0" w:type="dxa"/>
          </w:tblCellMar>
        </w:tblPrEx>
        <w:trPr>
          <w:trHeight w:val="630" w:hRule="atLeast"/>
        </w:trPr>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28</w:t>
            </w:r>
          </w:p>
        </w:tc>
        <w:tc>
          <w:tcPr>
            <w:tcW w:w="186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塑料检查井</w:t>
            </w:r>
          </w:p>
        </w:tc>
        <w:tc>
          <w:tcPr>
            <w:tcW w:w="2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包含井筒-井深2.3m-φ315</w:t>
            </w:r>
          </w:p>
        </w:tc>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套</w:t>
            </w:r>
          </w:p>
        </w:tc>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160</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421.09 </w:t>
            </w:r>
          </w:p>
        </w:tc>
        <w:tc>
          <w:tcPr>
            <w:tcW w:w="1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67374.40 </w:t>
            </w:r>
          </w:p>
        </w:tc>
      </w:tr>
      <w:tr>
        <w:tblPrEx>
          <w:tblLayout w:type="fixed"/>
          <w:tblCellMar>
            <w:top w:w="0" w:type="dxa"/>
            <w:left w:w="0" w:type="dxa"/>
            <w:bottom w:w="0" w:type="dxa"/>
            <w:right w:w="0" w:type="dxa"/>
          </w:tblCellMar>
        </w:tblPrEx>
        <w:trPr>
          <w:trHeight w:val="720" w:hRule="atLeast"/>
        </w:trPr>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29</w:t>
            </w:r>
          </w:p>
        </w:tc>
        <w:tc>
          <w:tcPr>
            <w:tcW w:w="186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塑料检查井</w:t>
            </w:r>
          </w:p>
        </w:tc>
        <w:tc>
          <w:tcPr>
            <w:tcW w:w="2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包含井筒-φ500</w:t>
            </w:r>
          </w:p>
        </w:tc>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套</w:t>
            </w:r>
          </w:p>
        </w:tc>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640</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611.84 </w:t>
            </w:r>
          </w:p>
        </w:tc>
        <w:tc>
          <w:tcPr>
            <w:tcW w:w="1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391577.60 </w:t>
            </w:r>
          </w:p>
        </w:tc>
      </w:tr>
      <w:tr>
        <w:tblPrEx>
          <w:tblLayout w:type="fixed"/>
          <w:tblCellMar>
            <w:top w:w="0" w:type="dxa"/>
            <w:left w:w="0" w:type="dxa"/>
            <w:bottom w:w="0" w:type="dxa"/>
            <w:right w:w="0" w:type="dxa"/>
          </w:tblCellMar>
        </w:tblPrEx>
        <w:trPr>
          <w:trHeight w:val="735" w:hRule="atLeast"/>
        </w:trPr>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30</w:t>
            </w:r>
          </w:p>
        </w:tc>
        <w:tc>
          <w:tcPr>
            <w:tcW w:w="186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塑料检查井</w:t>
            </w:r>
          </w:p>
        </w:tc>
        <w:tc>
          <w:tcPr>
            <w:tcW w:w="2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包含井筒-φ630</w:t>
            </w:r>
          </w:p>
        </w:tc>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套</w:t>
            </w:r>
          </w:p>
        </w:tc>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440</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680.22 </w:t>
            </w:r>
          </w:p>
        </w:tc>
        <w:tc>
          <w:tcPr>
            <w:tcW w:w="1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299296.80 </w:t>
            </w:r>
          </w:p>
        </w:tc>
      </w:tr>
      <w:tr>
        <w:tblPrEx>
          <w:tblLayout w:type="fixed"/>
          <w:tblCellMar>
            <w:top w:w="0" w:type="dxa"/>
            <w:left w:w="0" w:type="dxa"/>
            <w:bottom w:w="0" w:type="dxa"/>
            <w:right w:w="0" w:type="dxa"/>
          </w:tblCellMar>
        </w:tblPrEx>
        <w:trPr>
          <w:trHeight w:val="690" w:hRule="atLeast"/>
        </w:trPr>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31</w:t>
            </w:r>
          </w:p>
        </w:tc>
        <w:tc>
          <w:tcPr>
            <w:tcW w:w="186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塑料检查井</w:t>
            </w:r>
          </w:p>
        </w:tc>
        <w:tc>
          <w:tcPr>
            <w:tcW w:w="2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包含井筒-φ700</w:t>
            </w:r>
          </w:p>
        </w:tc>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套</w:t>
            </w:r>
          </w:p>
        </w:tc>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400</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755.81 </w:t>
            </w:r>
          </w:p>
        </w:tc>
        <w:tc>
          <w:tcPr>
            <w:tcW w:w="1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302324.00 </w:t>
            </w:r>
          </w:p>
        </w:tc>
      </w:tr>
      <w:tr>
        <w:tblPrEx>
          <w:tblLayout w:type="fixed"/>
          <w:tblCellMar>
            <w:top w:w="0" w:type="dxa"/>
            <w:left w:w="0" w:type="dxa"/>
            <w:bottom w:w="0" w:type="dxa"/>
            <w:right w:w="0" w:type="dxa"/>
          </w:tblCellMar>
        </w:tblPrEx>
        <w:trPr>
          <w:trHeight w:val="735" w:hRule="atLeast"/>
        </w:trPr>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32</w:t>
            </w:r>
          </w:p>
        </w:tc>
        <w:tc>
          <w:tcPr>
            <w:tcW w:w="186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球墨铸铁重型井盖、井座</w:t>
            </w:r>
          </w:p>
        </w:tc>
        <w:tc>
          <w:tcPr>
            <w:tcW w:w="2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φ700mm×800</w:t>
            </w:r>
          </w:p>
        </w:tc>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套</w:t>
            </w:r>
          </w:p>
        </w:tc>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400</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414.04 </w:t>
            </w:r>
          </w:p>
        </w:tc>
        <w:tc>
          <w:tcPr>
            <w:tcW w:w="1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165616.00 </w:t>
            </w:r>
          </w:p>
        </w:tc>
      </w:tr>
      <w:tr>
        <w:tblPrEx>
          <w:tblLayout w:type="fixed"/>
          <w:tblCellMar>
            <w:top w:w="0" w:type="dxa"/>
            <w:left w:w="0" w:type="dxa"/>
            <w:bottom w:w="0" w:type="dxa"/>
            <w:right w:w="0" w:type="dxa"/>
          </w:tblCellMar>
        </w:tblPrEx>
        <w:trPr>
          <w:trHeight w:val="850" w:hRule="atLeast"/>
        </w:trPr>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33</w:t>
            </w:r>
          </w:p>
        </w:tc>
        <w:tc>
          <w:tcPr>
            <w:tcW w:w="186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球墨铸铁中型井盖、井座</w:t>
            </w:r>
          </w:p>
        </w:tc>
        <w:tc>
          <w:tcPr>
            <w:tcW w:w="2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φ700mm×800</w:t>
            </w:r>
          </w:p>
        </w:tc>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套</w:t>
            </w:r>
          </w:p>
        </w:tc>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800</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350.33 </w:t>
            </w:r>
          </w:p>
        </w:tc>
        <w:tc>
          <w:tcPr>
            <w:tcW w:w="1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280264.00 </w:t>
            </w:r>
          </w:p>
        </w:tc>
      </w:tr>
      <w:tr>
        <w:tblPrEx>
          <w:tblLayout w:type="fixed"/>
          <w:tblCellMar>
            <w:top w:w="0" w:type="dxa"/>
            <w:left w:w="0" w:type="dxa"/>
            <w:bottom w:w="0" w:type="dxa"/>
            <w:right w:w="0" w:type="dxa"/>
          </w:tblCellMar>
        </w:tblPrEx>
        <w:trPr>
          <w:trHeight w:val="850" w:hRule="atLeast"/>
        </w:trPr>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34</w:t>
            </w:r>
          </w:p>
        </w:tc>
        <w:tc>
          <w:tcPr>
            <w:tcW w:w="186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球墨铸铁轻型井盖、井座</w:t>
            </w:r>
          </w:p>
        </w:tc>
        <w:tc>
          <w:tcPr>
            <w:tcW w:w="2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φ700mm×800</w:t>
            </w:r>
          </w:p>
        </w:tc>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套</w:t>
            </w:r>
          </w:p>
        </w:tc>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1200</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286.63 </w:t>
            </w:r>
          </w:p>
        </w:tc>
        <w:tc>
          <w:tcPr>
            <w:tcW w:w="1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343956.00 </w:t>
            </w:r>
          </w:p>
        </w:tc>
      </w:tr>
      <w:tr>
        <w:tblPrEx>
          <w:tblLayout w:type="fixed"/>
          <w:tblCellMar>
            <w:top w:w="0" w:type="dxa"/>
            <w:left w:w="0" w:type="dxa"/>
            <w:bottom w:w="0" w:type="dxa"/>
            <w:right w:w="0" w:type="dxa"/>
          </w:tblCellMar>
        </w:tblPrEx>
        <w:trPr>
          <w:trHeight w:val="1175" w:hRule="atLeast"/>
        </w:trPr>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35</w:t>
            </w:r>
          </w:p>
        </w:tc>
        <w:tc>
          <w:tcPr>
            <w:tcW w:w="186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单箅偏沟式雨水口塑料-DN315</w:t>
            </w:r>
          </w:p>
        </w:tc>
        <w:tc>
          <w:tcPr>
            <w:tcW w:w="2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DN315</w:t>
            </w:r>
          </w:p>
        </w:tc>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套</w:t>
            </w:r>
          </w:p>
        </w:tc>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800</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201.55 </w:t>
            </w:r>
          </w:p>
        </w:tc>
        <w:tc>
          <w:tcPr>
            <w:tcW w:w="1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161240.00 </w:t>
            </w:r>
          </w:p>
        </w:tc>
      </w:tr>
      <w:tr>
        <w:tblPrEx>
          <w:tblLayout w:type="fixed"/>
          <w:tblCellMar>
            <w:top w:w="0" w:type="dxa"/>
            <w:left w:w="0" w:type="dxa"/>
            <w:bottom w:w="0" w:type="dxa"/>
            <w:right w:w="0" w:type="dxa"/>
          </w:tblCellMar>
        </w:tblPrEx>
        <w:trPr>
          <w:trHeight w:val="900" w:hRule="atLeast"/>
        </w:trPr>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合计</w:t>
            </w:r>
          </w:p>
        </w:tc>
        <w:tc>
          <w:tcPr>
            <w:tcW w:w="1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2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rPr>
            </w:pPr>
            <w:r>
              <w:rPr>
                <w:rFonts w:hint="eastAsia" w:ascii="宋体" w:hAnsi="宋体" w:eastAsia="宋体" w:cs="宋体"/>
                <w:i w:val="0"/>
                <w:color w:val="auto"/>
                <w:kern w:val="0"/>
                <w:sz w:val="24"/>
                <w:szCs w:val="24"/>
                <w:u w:val="none"/>
                <w:lang w:val="en-US" w:eastAsia="zh-CN" w:bidi="ar"/>
              </w:rPr>
              <w:t>9008846.40</w:t>
            </w:r>
          </w:p>
        </w:tc>
      </w:tr>
      <w:tr>
        <w:tblPrEx>
          <w:tblLayout w:type="fixed"/>
          <w:tblCellMar>
            <w:top w:w="0" w:type="dxa"/>
            <w:left w:w="0" w:type="dxa"/>
            <w:bottom w:w="0" w:type="dxa"/>
            <w:right w:w="0" w:type="dxa"/>
          </w:tblCellMar>
        </w:tblPrEx>
        <w:trPr>
          <w:trHeight w:val="2220" w:hRule="atLeast"/>
        </w:trPr>
        <w:tc>
          <w:tcPr>
            <w:tcW w:w="8760"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i w:val="0"/>
                <w:color w:val="auto"/>
                <w:kern w:val="0"/>
                <w:sz w:val="24"/>
                <w:szCs w:val="24"/>
                <w:u w:val="none"/>
                <w:lang w:val="en-US" w:eastAsia="zh-CN" w:bidi="ar"/>
              </w:rPr>
            </w:pPr>
            <w:r>
              <w:rPr>
                <w:rFonts w:hint="eastAsia" w:ascii="宋体" w:hAnsi="宋体" w:eastAsia="宋体" w:cs="宋体"/>
                <w:b w:val="0"/>
                <w:bCs/>
                <w:i w:val="0"/>
                <w:color w:val="auto"/>
                <w:kern w:val="0"/>
                <w:sz w:val="24"/>
                <w:szCs w:val="24"/>
                <w:u w:val="none"/>
                <w:lang w:val="en-US" w:eastAsia="zh-CN" w:bidi="ar"/>
              </w:rPr>
              <w:t>采购项目要求：</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1）具体采购量以实际下单量为准。</w:t>
            </w:r>
            <w:r>
              <w:rPr>
                <w:rFonts w:hint="eastAsia" w:ascii="宋体" w:hAnsi="宋体" w:eastAsia="宋体" w:cs="宋体"/>
                <w:b w:val="0"/>
                <w:bCs/>
                <w:i w:val="0"/>
                <w:color w:val="auto"/>
                <w:kern w:val="0"/>
                <w:sz w:val="24"/>
                <w:szCs w:val="24"/>
                <w:u w:val="none"/>
                <w:lang w:val="en-US" w:eastAsia="zh-CN" w:bidi="ar"/>
              </w:rPr>
              <w:br w:type="textWrapping"/>
            </w:r>
            <w:r>
              <w:rPr>
                <w:rFonts w:hint="eastAsia" w:ascii="宋体" w:hAnsi="宋体" w:eastAsia="宋体" w:cs="宋体"/>
                <w:b w:val="0"/>
                <w:bCs/>
                <w:i w:val="0"/>
                <w:color w:val="auto"/>
                <w:kern w:val="0"/>
                <w:sz w:val="24"/>
                <w:szCs w:val="24"/>
                <w:u w:val="none"/>
                <w:lang w:val="en-US" w:eastAsia="zh-CN" w:bidi="ar"/>
              </w:rPr>
              <w:t xml:space="preserve">2）与交货有关的费用:以上报价包含但不限于生产所需的材料费、制作费、装卸车费、运输费、生产损耗，13%增值税专用发票。承诺人报价时应自行衡量内部风险，且包含在中选单价中。       </w:t>
            </w:r>
            <w:r>
              <w:rPr>
                <w:rFonts w:hint="eastAsia" w:ascii="宋体" w:hAnsi="宋体" w:eastAsia="宋体" w:cs="宋体"/>
                <w:b w:val="0"/>
                <w:bCs/>
                <w:i w:val="0"/>
                <w:color w:val="auto"/>
                <w:kern w:val="0"/>
                <w:sz w:val="24"/>
                <w:szCs w:val="24"/>
                <w:u w:val="none"/>
                <w:lang w:val="en-US" w:eastAsia="zh-CN" w:bidi="ar"/>
              </w:rPr>
              <w:br w:type="textWrapping"/>
            </w:r>
            <w:r>
              <w:rPr>
                <w:rFonts w:hint="eastAsia" w:ascii="宋体" w:hAnsi="宋体" w:eastAsia="宋体" w:cs="宋体"/>
                <w:b w:val="0"/>
                <w:bCs/>
                <w:i w:val="0"/>
                <w:color w:val="auto"/>
                <w:kern w:val="0"/>
                <w:sz w:val="24"/>
                <w:szCs w:val="24"/>
                <w:u w:val="none"/>
                <w:lang w:val="en-US" w:eastAsia="zh-CN" w:bidi="ar"/>
              </w:rPr>
              <w:t>3）合同价格形式：合同单价为包干价，不受市场价格浮动和国家对原材料进行政策性调整及产品交货与施工时间等的一切影响。</w:t>
            </w:r>
          </w:p>
        </w:tc>
      </w:tr>
    </w:tbl>
    <w:p>
      <w:pPr>
        <w:pageBreakBefore w:val="0"/>
        <w:kinsoku/>
        <w:wordWrap/>
        <w:overflowPunct/>
        <w:topLinePunct w:val="0"/>
        <w:autoSpaceDE/>
        <w:autoSpaceDN/>
        <w:bidi w:val="0"/>
        <w:adjustRightInd/>
        <w:snapToGrid/>
        <w:spacing w:line="360" w:lineRule="auto"/>
        <w:ind w:firstLine="482" w:firstLineChars="200"/>
        <w:rPr>
          <w:rFonts w:hint="eastAsia" w:ascii="宋体" w:hAnsi="宋体" w:eastAsia="宋体"/>
          <w:b/>
          <w:color w:val="auto"/>
          <w:sz w:val="24"/>
          <w:highlight w:val="none"/>
          <w:lang w:val="en-US" w:eastAsia="zh-CN"/>
        </w:rPr>
      </w:pPr>
      <w:bookmarkStart w:id="8" w:name="_Toc344732468"/>
      <w:bookmarkStart w:id="9" w:name="_Toc234382572"/>
      <w:bookmarkStart w:id="10" w:name="_Toc245379318"/>
      <w:bookmarkStart w:id="11" w:name="_Toc243796162"/>
      <w:r>
        <w:rPr>
          <w:rFonts w:hint="eastAsia" w:ascii="宋体" w:hAnsi="宋体"/>
          <w:b/>
          <w:color w:val="auto"/>
          <w:sz w:val="24"/>
          <w:highlight w:val="none"/>
        </w:rPr>
        <w:t>3.资格要求</w:t>
      </w:r>
      <w:bookmarkEnd w:id="8"/>
      <w:bookmarkEnd w:id="9"/>
      <w:bookmarkEnd w:id="10"/>
      <w:bookmarkEnd w:id="11"/>
    </w:p>
    <w:p>
      <w:pPr>
        <w:pageBreakBefore w:val="0"/>
        <w:kinsoku/>
        <w:wordWrap/>
        <w:overflowPunct/>
        <w:topLinePunct w:val="0"/>
        <w:autoSpaceDE/>
        <w:autoSpaceDN/>
        <w:bidi w:val="0"/>
        <w:adjustRightInd/>
        <w:snapToGrid/>
        <w:spacing w:line="360" w:lineRule="auto"/>
        <w:ind w:firstLine="480" w:firstLineChars="200"/>
        <w:rPr>
          <w:color w:val="auto"/>
          <w:sz w:val="24"/>
          <w:highlight w:val="none"/>
        </w:rPr>
      </w:pPr>
      <w:r>
        <w:rPr>
          <w:rFonts w:hint="eastAsia"/>
          <w:color w:val="auto"/>
          <w:sz w:val="24"/>
          <w:highlight w:val="none"/>
        </w:rPr>
        <w:t>3.1 本次选择要求承诺人须具备以下条件：</w:t>
      </w:r>
    </w:p>
    <w:p>
      <w:pPr>
        <w:pageBreakBefore w:val="0"/>
        <w:kinsoku/>
        <w:wordWrap/>
        <w:overflowPunct/>
        <w:topLinePunct w:val="0"/>
        <w:autoSpaceDE/>
        <w:autoSpaceDN/>
        <w:bidi w:val="0"/>
        <w:adjustRightInd/>
        <w:snapToGrid/>
        <w:spacing w:line="360" w:lineRule="auto"/>
        <w:ind w:firstLine="480" w:firstLineChars="200"/>
        <w:rPr>
          <w:rFonts w:hint="eastAsia"/>
          <w:color w:val="auto"/>
          <w:sz w:val="24"/>
          <w:highlight w:val="none"/>
        </w:rPr>
      </w:pPr>
      <w:r>
        <w:rPr>
          <w:rFonts w:hint="eastAsia"/>
          <w:color w:val="auto"/>
          <w:sz w:val="24"/>
          <w:highlight w:val="none"/>
        </w:rPr>
        <w:t>必须属于南平武夷</w:t>
      </w:r>
      <w:r>
        <w:rPr>
          <w:rFonts w:hint="eastAsia"/>
          <w:color w:val="auto"/>
          <w:sz w:val="24"/>
          <w:highlight w:val="none"/>
          <w:lang w:eastAsia="zh-CN"/>
        </w:rPr>
        <w:t>发展</w:t>
      </w:r>
      <w:r>
        <w:rPr>
          <w:rFonts w:hint="eastAsia"/>
          <w:color w:val="auto"/>
          <w:sz w:val="24"/>
          <w:highlight w:val="none"/>
        </w:rPr>
        <w:t>集团有限公司贸易类大宗物资供应商名录库</w:t>
      </w:r>
      <w:r>
        <w:rPr>
          <w:rFonts w:hint="eastAsia"/>
          <w:color w:val="auto"/>
          <w:sz w:val="24"/>
          <w:highlight w:val="none"/>
          <w:lang w:val="en-US" w:eastAsia="zh-CN"/>
        </w:rPr>
        <w:t>内</w:t>
      </w:r>
      <w:r>
        <w:rPr>
          <w:rFonts w:hint="eastAsia"/>
          <w:color w:val="auto"/>
          <w:sz w:val="24"/>
          <w:highlight w:val="none"/>
        </w:rPr>
        <w:t>的</w:t>
      </w:r>
      <w:r>
        <w:rPr>
          <w:rFonts w:hint="eastAsia" w:ascii="宋体" w:hAnsi="宋体"/>
          <w:color w:val="auto"/>
          <w:kern w:val="0"/>
          <w:sz w:val="24"/>
          <w:highlight w:val="none"/>
          <w:u w:val="single"/>
          <w:lang w:val="en-US" w:eastAsia="zh-CN"/>
        </w:rPr>
        <w:t>管道材料类</w:t>
      </w:r>
      <w:r>
        <w:rPr>
          <w:rFonts w:hint="eastAsia" w:ascii="宋体" w:hAnsi="宋体"/>
          <w:color w:val="auto"/>
          <w:kern w:val="0"/>
          <w:sz w:val="24"/>
          <w:highlight w:val="none"/>
          <w:u w:val="none"/>
          <w:lang w:val="en-US" w:eastAsia="zh-CN"/>
        </w:rPr>
        <w:t>供应商</w:t>
      </w:r>
      <w:r>
        <w:rPr>
          <w:rFonts w:hint="eastAsia"/>
          <w:color w:val="auto"/>
          <w:sz w:val="24"/>
          <w:highlight w:val="none"/>
        </w:rPr>
        <w:t>。</w:t>
      </w:r>
      <w:r>
        <w:rPr>
          <w:rFonts w:hint="eastAsia" w:ascii="宋体" w:hAnsi="宋体"/>
          <w:color w:val="auto"/>
          <w:sz w:val="24"/>
          <w:highlight w:val="none"/>
        </w:rPr>
        <w:t>具有有效的营业执照</w:t>
      </w:r>
      <w:r>
        <w:rPr>
          <w:rFonts w:hint="eastAsia" w:ascii="宋体" w:hAnsi="宋体"/>
          <w:color w:val="auto"/>
          <w:sz w:val="24"/>
          <w:highlight w:val="none"/>
          <w:lang w:eastAsia="zh-CN"/>
        </w:rPr>
        <w:t>。</w:t>
      </w:r>
    </w:p>
    <w:p>
      <w:pPr>
        <w:pStyle w:val="8"/>
        <w:pageBreakBefore w:val="0"/>
        <w:kinsoku/>
        <w:wordWrap/>
        <w:overflowPunct/>
        <w:topLinePunct w:val="0"/>
        <w:autoSpaceDE/>
        <w:autoSpaceDN/>
        <w:bidi w:val="0"/>
        <w:adjustRightInd/>
        <w:snapToGrid/>
        <w:spacing w:before="0" w:beforeLines="0" w:after="0" w:afterLines="0" w:line="360" w:lineRule="auto"/>
        <w:ind w:left="0" w:leftChars="0" w:firstLine="480"/>
        <w:rPr>
          <w:rFonts w:hint="eastAsia"/>
          <w:color w:val="auto"/>
          <w:sz w:val="24"/>
          <w:highlight w:val="none"/>
        </w:rPr>
      </w:pPr>
      <w:r>
        <w:rPr>
          <w:rFonts w:hint="eastAsia"/>
          <w:color w:val="auto"/>
          <w:sz w:val="24"/>
          <w:highlight w:val="none"/>
        </w:rPr>
        <w:t>3.</w:t>
      </w:r>
      <w:r>
        <w:rPr>
          <w:rFonts w:hint="eastAsia"/>
          <w:color w:val="auto"/>
          <w:sz w:val="24"/>
          <w:highlight w:val="none"/>
          <w:lang w:val="en-US" w:eastAsia="zh-CN"/>
        </w:rPr>
        <w:t>2</w:t>
      </w:r>
      <w:r>
        <w:rPr>
          <w:rFonts w:hint="eastAsia"/>
          <w:color w:val="auto"/>
          <w:sz w:val="24"/>
          <w:highlight w:val="none"/>
        </w:rPr>
        <w:t>不得是南平武夷发展集团有限公司、下属子公司在册的黑名单</w:t>
      </w:r>
      <w:r>
        <w:rPr>
          <w:rFonts w:hint="eastAsia"/>
          <w:color w:val="auto"/>
          <w:sz w:val="24"/>
          <w:highlight w:val="none"/>
          <w:lang w:val="en-US" w:eastAsia="zh-CN"/>
        </w:rPr>
        <w:t>供应商。</w:t>
      </w:r>
    </w:p>
    <w:p>
      <w:pPr>
        <w:pageBreakBefore w:val="0"/>
        <w:kinsoku/>
        <w:wordWrap/>
        <w:overflowPunct/>
        <w:topLinePunct w:val="0"/>
        <w:autoSpaceDE/>
        <w:autoSpaceDN/>
        <w:bidi w:val="0"/>
        <w:adjustRightInd/>
        <w:snapToGrid/>
        <w:spacing w:line="360" w:lineRule="auto"/>
        <w:ind w:firstLine="484" w:firstLineChars="202"/>
        <w:jc w:val="left"/>
        <w:rPr>
          <w:rFonts w:hint="eastAsia"/>
          <w:color w:val="auto"/>
          <w:sz w:val="24"/>
          <w:highlight w:val="none"/>
        </w:rPr>
      </w:pPr>
      <w:r>
        <w:rPr>
          <w:rFonts w:hint="eastAsia"/>
          <w:color w:val="auto"/>
          <w:sz w:val="24"/>
          <w:highlight w:val="none"/>
        </w:rPr>
        <w:t>不得是在“信用中国”网站（www.creditchina.gov.cn）列入失信被执行人名单；</w:t>
      </w:r>
    </w:p>
    <w:p>
      <w:pPr>
        <w:pageBreakBefore w:val="0"/>
        <w:kinsoku/>
        <w:wordWrap/>
        <w:overflowPunct/>
        <w:topLinePunct w:val="0"/>
        <w:autoSpaceDE/>
        <w:autoSpaceDN/>
        <w:bidi w:val="0"/>
        <w:adjustRightInd/>
        <w:snapToGrid/>
        <w:spacing w:line="360" w:lineRule="auto"/>
        <w:ind w:firstLine="484" w:firstLineChars="202"/>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3.</w:t>
      </w:r>
      <w:r>
        <w:rPr>
          <w:rFonts w:hint="eastAsia" w:ascii="Times New Roman" w:hAnsi="Times New Roman" w:eastAsia="宋体" w:cs="Times New Roman"/>
          <w:color w:val="auto"/>
          <w:sz w:val="24"/>
          <w:highlight w:val="none"/>
          <w:lang w:val="en-US" w:eastAsia="zh-CN"/>
        </w:rPr>
        <w:t>3</w:t>
      </w:r>
      <w:r>
        <w:rPr>
          <w:rFonts w:hint="eastAsia" w:ascii="Times New Roman" w:hAnsi="Times New Roman" w:eastAsia="宋体" w:cs="Times New Roman"/>
          <w:color w:val="auto"/>
          <w:sz w:val="24"/>
          <w:highlight w:val="none"/>
        </w:rPr>
        <w:t>承诺人具有良好的商业信誉和健全的财务会计制度；</w:t>
      </w:r>
    </w:p>
    <w:p>
      <w:pPr>
        <w:pageBreakBefore w:val="0"/>
        <w:kinsoku/>
        <w:wordWrap/>
        <w:overflowPunct/>
        <w:topLinePunct w:val="0"/>
        <w:autoSpaceDE/>
        <w:autoSpaceDN/>
        <w:bidi w:val="0"/>
        <w:adjustRightInd/>
        <w:snapToGrid/>
        <w:spacing w:line="360" w:lineRule="auto"/>
        <w:ind w:firstLine="484" w:firstLineChars="202"/>
        <w:jc w:val="left"/>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3.4具有履行合同所必需的设备和专业技术、售后保障等能力；</w:t>
      </w:r>
      <w:r>
        <w:rPr>
          <w:rFonts w:hint="eastAsia" w:ascii="Times New Roman" w:hAnsi="Times New Roman" w:eastAsia="宋体" w:cs="Times New Roman"/>
          <w:color w:val="auto"/>
          <w:sz w:val="24"/>
          <w:highlight w:val="none"/>
          <w:lang w:val="en-US" w:eastAsia="zh-CN"/>
        </w:rPr>
        <w:t>（承诺人需提供设备清单、专业技术人员名单及售后保障承诺函）</w:t>
      </w:r>
    </w:p>
    <w:p>
      <w:pPr>
        <w:pStyle w:val="8"/>
        <w:ind w:left="0" w:leftChars="0" w:firstLine="480" w:firstLineChars="200"/>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3.5有依法缴纳税收和社会保障资金的良好记录；</w:t>
      </w:r>
    </w:p>
    <w:p>
      <w:pPr>
        <w:pageBreakBefore w:val="0"/>
        <w:kinsoku/>
        <w:wordWrap/>
        <w:overflowPunct/>
        <w:topLinePunct w:val="0"/>
        <w:autoSpaceDE/>
        <w:autoSpaceDN/>
        <w:bidi w:val="0"/>
        <w:adjustRightInd/>
        <w:snapToGrid/>
        <w:spacing w:line="360" w:lineRule="auto"/>
        <w:ind w:firstLine="484" w:firstLineChars="202"/>
        <w:jc w:val="left"/>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3.6承诺人</w:t>
      </w:r>
      <w:r>
        <w:rPr>
          <w:rFonts w:hint="eastAsia" w:ascii="Times New Roman" w:hAnsi="Times New Roman" w:eastAsia="宋体" w:cs="Times New Roman"/>
          <w:color w:val="auto"/>
          <w:sz w:val="24"/>
          <w:highlight w:val="none"/>
        </w:rPr>
        <w:t>不得处于被责令停业，财产被接管、冻结、破产状态；</w:t>
      </w:r>
      <w:r>
        <w:rPr>
          <w:rFonts w:hint="eastAsia" w:ascii="Times New Roman" w:hAnsi="Times New Roman" w:eastAsia="宋体" w:cs="Times New Roman"/>
          <w:color w:val="auto"/>
          <w:sz w:val="24"/>
          <w:highlight w:val="none"/>
          <w:lang w:val="en-US" w:eastAsia="zh-CN"/>
        </w:rPr>
        <w:t>承诺人</w:t>
      </w:r>
      <w:r>
        <w:rPr>
          <w:rFonts w:hint="eastAsia" w:ascii="Times New Roman" w:hAnsi="Times New Roman" w:eastAsia="宋体" w:cs="Times New Roman"/>
          <w:color w:val="auto"/>
          <w:sz w:val="24"/>
          <w:highlight w:val="none"/>
        </w:rPr>
        <w:t>参加采购、招投标等活动前三年内</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在</w:t>
      </w:r>
      <w:r>
        <w:rPr>
          <w:rFonts w:hint="eastAsia" w:ascii="Times New Roman" w:hAnsi="Times New Roman" w:eastAsia="宋体" w:cs="Times New Roman"/>
          <w:color w:val="auto"/>
          <w:sz w:val="24"/>
          <w:highlight w:val="none"/>
        </w:rPr>
        <w:t>经</w:t>
      </w:r>
      <w:r>
        <w:rPr>
          <w:rFonts w:hint="eastAsia" w:ascii="Times New Roman" w:hAnsi="Times New Roman" w:eastAsia="宋体" w:cs="Times New Roman"/>
          <w:color w:val="auto"/>
          <w:sz w:val="24"/>
          <w:highlight w:val="none"/>
          <w:lang w:val="en-US" w:eastAsia="zh-CN"/>
        </w:rPr>
        <w:t>营</w:t>
      </w:r>
      <w:r>
        <w:rPr>
          <w:rFonts w:hint="eastAsia" w:ascii="Times New Roman" w:hAnsi="Times New Roman" w:eastAsia="宋体" w:cs="Times New Roman"/>
          <w:color w:val="auto"/>
          <w:sz w:val="24"/>
          <w:highlight w:val="none"/>
        </w:rPr>
        <w:t>活动中没有重大违法记录、严重失信行为和行贿记录</w:t>
      </w:r>
      <w:bookmarkStart w:id="12" w:name="_Toc234382573"/>
      <w:bookmarkStart w:id="13" w:name="_Toc344732469"/>
      <w:bookmarkStart w:id="14" w:name="_Toc245379319"/>
      <w:bookmarkStart w:id="15" w:name="_Toc243796163"/>
      <w:r>
        <w:rPr>
          <w:rFonts w:hint="eastAsia" w:ascii="Times New Roman" w:hAnsi="Times New Roman" w:eastAsia="宋体" w:cs="Times New Roman"/>
          <w:color w:val="auto"/>
          <w:sz w:val="24"/>
          <w:highlight w:val="none"/>
          <w:lang w:val="en-US" w:eastAsia="zh-CN"/>
        </w:rPr>
        <w:t>；</w:t>
      </w:r>
    </w:p>
    <w:p>
      <w:pPr>
        <w:pageBreakBefore w:val="0"/>
        <w:kinsoku/>
        <w:wordWrap/>
        <w:overflowPunct/>
        <w:topLinePunct w:val="0"/>
        <w:autoSpaceDE/>
        <w:autoSpaceDN/>
        <w:bidi w:val="0"/>
        <w:adjustRightInd/>
        <w:snapToGrid/>
        <w:spacing w:line="360" w:lineRule="auto"/>
        <w:ind w:firstLine="484" w:firstLineChars="202"/>
        <w:jc w:val="left"/>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rPr>
        <w:t>3.</w:t>
      </w:r>
      <w:r>
        <w:rPr>
          <w:rFonts w:hint="eastAsia" w:ascii="Times New Roman" w:hAnsi="Times New Roman" w:eastAsia="宋体" w:cs="Times New Roman"/>
          <w:color w:val="auto"/>
          <w:sz w:val="24"/>
          <w:highlight w:val="none"/>
          <w:lang w:val="en-US" w:eastAsia="zh-CN"/>
        </w:rPr>
        <w:t>7承诺人符合法律、行政法规规定的其他条件；</w:t>
      </w:r>
    </w:p>
    <w:p>
      <w:pPr>
        <w:pageBreakBefore w:val="0"/>
        <w:kinsoku/>
        <w:wordWrap/>
        <w:overflowPunct/>
        <w:topLinePunct w:val="0"/>
        <w:autoSpaceDE/>
        <w:autoSpaceDN/>
        <w:bidi w:val="0"/>
        <w:adjustRightInd/>
        <w:snapToGrid/>
        <w:spacing w:line="360" w:lineRule="auto"/>
        <w:ind w:firstLine="484" w:firstLineChars="202"/>
        <w:jc w:val="left"/>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3.8</w:t>
      </w:r>
      <w:r>
        <w:rPr>
          <w:rFonts w:hint="eastAsia" w:ascii="Times New Roman" w:hAnsi="Times New Roman" w:eastAsia="宋体" w:cs="Times New Roman"/>
          <w:color w:val="auto"/>
          <w:sz w:val="24"/>
          <w:highlight w:val="none"/>
        </w:rPr>
        <w:t>本次</w:t>
      </w:r>
      <w:r>
        <w:rPr>
          <w:rFonts w:hint="eastAsia" w:ascii="Times New Roman" w:hAnsi="Times New Roman" w:eastAsia="宋体" w:cs="Times New Roman"/>
          <w:color w:val="auto"/>
          <w:sz w:val="24"/>
          <w:highlight w:val="none"/>
          <w:lang w:eastAsia="zh-CN"/>
        </w:rPr>
        <w:t>选择</w:t>
      </w:r>
      <w:r>
        <w:rPr>
          <w:rFonts w:hint="eastAsia" w:ascii="Times New Roman" w:hAnsi="Times New Roman" w:eastAsia="宋体" w:cs="Times New Roman"/>
          <w:color w:val="auto"/>
          <w:sz w:val="24"/>
          <w:highlight w:val="none"/>
          <w:u w:val="single"/>
        </w:rPr>
        <w:t xml:space="preserve"> 不接受  </w:t>
      </w:r>
      <w:r>
        <w:rPr>
          <w:rFonts w:hint="eastAsia" w:ascii="Times New Roman" w:hAnsi="Times New Roman" w:eastAsia="宋体" w:cs="Times New Roman"/>
          <w:color w:val="auto"/>
          <w:sz w:val="24"/>
          <w:highlight w:val="none"/>
        </w:rPr>
        <w:t>联合体竞选</w:t>
      </w:r>
      <w:r>
        <w:rPr>
          <w:rFonts w:hint="eastAsia" w:ascii="Times New Roman" w:hAnsi="Times New Roman" w:eastAsia="宋体" w:cs="Times New Roman"/>
          <w:color w:val="auto"/>
          <w:sz w:val="24"/>
          <w:highlight w:val="none"/>
          <w:lang w:eastAsia="zh-CN"/>
        </w:rPr>
        <w:t>。</w:t>
      </w:r>
    </w:p>
    <w:p>
      <w:pPr>
        <w:pageBreakBefore w:val="0"/>
        <w:kinsoku/>
        <w:wordWrap/>
        <w:overflowPunct/>
        <w:topLinePunct w:val="0"/>
        <w:autoSpaceDE/>
        <w:autoSpaceDN/>
        <w:bidi w:val="0"/>
        <w:adjustRightInd/>
        <w:snapToGrid/>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4.选择文件的获取</w:t>
      </w:r>
      <w:bookmarkEnd w:id="12"/>
      <w:bookmarkEnd w:id="13"/>
      <w:bookmarkEnd w:id="14"/>
      <w:bookmarkEnd w:id="15"/>
    </w:p>
    <w:p>
      <w:pPr>
        <w:pageBreakBefore w:val="0"/>
        <w:tabs>
          <w:tab w:val="left" w:pos="360"/>
        </w:tabs>
        <w:kinsoku/>
        <w:wordWrap/>
        <w:overflowPunct/>
        <w:topLinePunct w:val="0"/>
        <w:autoSpaceDE/>
        <w:autoSpaceDN/>
        <w:bidi w:val="0"/>
        <w:adjustRightInd/>
        <w:snapToGrid/>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4.1凡有意参加选择者，请于</w:t>
      </w:r>
      <w:r>
        <w:rPr>
          <w:rFonts w:hint="eastAsia" w:ascii="宋体" w:hAnsi="宋体" w:eastAsia="宋体" w:cs="Times New Roman"/>
          <w:color w:val="auto"/>
          <w:sz w:val="24"/>
          <w:highlight w:val="none"/>
          <w:u w:val="single"/>
          <w:lang w:val="en-US" w:eastAsia="zh-CN"/>
        </w:rPr>
        <w:t>2024</w:t>
      </w:r>
      <w:r>
        <w:rPr>
          <w:rFonts w:hint="eastAsia" w:ascii="宋体" w:hAnsi="宋体" w:eastAsia="宋体" w:cs="Times New Roman"/>
          <w:color w:val="auto"/>
          <w:sz w:val="24"/>
          <w:highlight w:val="none"/>
          <w:u w:val="none"/>
          <w:lang w:val="en-US" w:eastAsia="zh-CN"/>
        </w:rPr>
        <w:t xml:space="preserve"> </w:t>
      </w:r>
      <w:r>
        <w:rPr>
          <w:rFonts w:hint="eastAsia" w:ascii="宋体" w:hAnsi="宋体" w:eastAsia="宋体" w:cs="Times New Roman"/>
          <w:color w:val="auto"/>
          <w:sz w:val="24"/>
          <w:highlight w:val="none"/>
          <w:u w:val="none"/>
        </w:rPr>
        <w:t>年</w:t>
      </w:r>
      <w:r>
        <w:rPr>
          <w:rFonts w:hint="eastAsia" w:ascii="宋体" w:hAnsi="宋体" w:eastAsia="宋体" w:cs="Times New Roman"/>
          <w:color w:val="auto"/>
          <w:sz w:val="24"/>
          <w:highlight w:val="none"/>
          <w:u w:val="single"/>
          <w:lang w:val="en-US" w:eastAsia="zh-CN"/>
        </w:rPr>
        <w:t>4</w:t>
      </w:r>
      <w:r>
        <w:rPr>
          <w:rFonts w:hint="eastAsia" w:ascii="宋体" w:hAnsi="宋体" w:eastAsia="宋体" w:cs="Times New Roman"/>
          <w:color w:val="auto"/>
          <w:sz w:val="24"/>
          <w:highlight w:val="none"/>
          <w:u w:val="none"/>
        </w:rPr>
        <w:t>月</w:t>
      </w:r>
      <w:r>
        <w:rPr>
          <w:rFonts w:hint="eastAsia" w:ascii="宋体" w:hAnsi="宋体" w:eastAsia="宋体" w:cs="Times New Roman"/>
          <w:color w:val="auto"/>
          <w:sz w:val="24"/>
          <w:highlight w:val="none"/>
          <w:u w:val="single"/>
          <w:lang w:val="en-US" w:eastAsia="zh-CN"/>
        </w:rPr>
        <w:t>30</w:t>
      </w:r>
      <w:r>
        <w:rPr>
          <w:rFonts w:hint="eastAsia" w:ascii="宋体" w:hAnsi="宋体" w:eastAsia="宋体" w:cs="Times New Roman"/>
          <w:color w:val="auto"/>
          <w:sz w:val="24"/>
          <w:highlight w:val="none"/>
          <w:u w:val="none"/>
        </w:rPr>
        <w:t>日至</w:t>
      </w:r>
      <w:r>
        <w:rPr>
          <w:rFonts w:hint="eastAsia" w:ascii="宋体" w:hAnsi="宋体"/>
          <w:color w:val="auto"/>
          <w:sz w:val="24"/>
          <w:highlight w:val="none"/>
          <w:u w:val="single"/>
        </w:rPr>
        <w:t xml:space="preserve"> 202</w:t>
      </w:r>
      <w:r>
        <w:rPr>
          <w:rFonts w:hint="eastAsia" w:ascii="宋体" w:hAnsi="宋体"/>
          <w:color w:val="auto"/>
          <w:sz w:val="24"/>
          <w:highlight w:val="none"/>
          <w:u w:val="single"/>
          <w:lang w:val="en-US" w:eastAsia="zh-CN"/>
        </w:rPr>
        <w:t>4</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eastAsia="宋体" w:cs="Times New Roman"/>
          <w:color w:val="auto"/>
          <w:sz w:val="24"/>
          <w:highlight w:val="none"/>
          <w:u w:val="single"/>
          <w:lang w:val="en-US" w:eastAsia="zh-CN"/>
        </w:rPr>
        <w:t>5</w:t>
      </w:r>
      <w:r>
        <w:rPr>
          <w:rFonts w:hint="eastAsia" w:ascii="宋体" w:hAnsi="宋体" w:eastAsia="宋体" w:cs="Times New Roman"/>
          <w:color w:val="auto"/>
          <w:sz w:val="24"/>
          <w:highlight w:val="none"/>
          <w:u w:val="none"/>
        </w:rPr>
        <w:t>月</w:t>
      </w:r>
      <w:r>
        <w:rPr>
          <w:rFonts w:hint="eastAsia" w:ascii="宋体" w:hAnsi="宋体" w:eastAsia="宋体" w:cs="Times New Roman"/>
          <w:color w:val="auto"/>
          <w:sz w:val="24"/>
          <w:highlight w:val="none"/>
          <w:u w:val="single"/>
          <w:lang w:val="en-US" w:eastAsia="zh-CN"/>
        </w:rPr>
        <w:t>6</w:t>
      </w:r>
      <w:r>
        <w:rPr>
          <w:rFonts w:hint="eastAsia" w:ascii="宋体" w:hAnsi="宋体"/>
          <w:color w:val="auto"/>
          <w:sz w:val="24"/>
          <w:highlight w:val="none"/>
        </w:rPr>
        <w:t>日（工作时间）到</w:t>
      </w:r>
      <w:r>
        <w:rPr>
          <w:rFonts w:hint="eastAsia" w:ascii="宋体" w:hAnsi="宋体"/>
          <w:color w:val="auto"/>
          <w:sz w:val="24"/>
          <w:highlight w:val="none"/>
          <w:lang w:val="en-US" w:eastAsia="zh-CN"/>
        </w:rPr>
        <w:t>福建省南平市</w:t>
      </w:r>
      <w:r>
        <w:rPr>
          <w:rFonts w:hint="eastAsia" w:ascii="宋体" w:hAnsi="宋体"/>
          <w:color w:val="auto"/>
          <w:sz w:val="24"/>
          <w:highlight w:val="none"/>
        </w:rPr>
        <w:t>建阳区顺昌街213号祥乐苑15幢一层</w:t>
      </w:r>
      <w:r>
        <w:rPr>
          <w:rFonts w:hint="eastAsia" w:ascii="宋体" w:hAnsi="宋体"/>
          <w:color w:val="auto"/>
          <w:sz w:val="24"/>
          <w:highlight w:val="none"/>
          <w:lang w:val="en-US" w:eastAsia="zh-CN"/>
        </w:rPr>
        <w:t>晖源招标采购部</w:t>
      </w:r>
      <w:r>
        <w:rPr>
          <w:rFonts w:hint="eastAsia" w:ascii="宋体" w:hAnsi="宋体"/>
          <w:color w:val="auto"/>
          <w:sz w:val="24"/>
          <w:highlight w:val="none"/>
        </w:rPr>
        <w:t>报名并购买选择文件，费用</w:t>
      </w:r>
      <w:r>
        <w:rPr>
          <w:rFonts w:hint="eastAsia" w:ascii="宋体" w:hAnsi="宋体"/>
          <w:color w:val="auto"/>
          <w:sz w:val="24"/>
          <w:highlight w:val="none"/>
          <w:u w:val="single"/>
          <w:lang w:val="en-US" w:eastAsia="zh-CN"/>
        </w:rPr>
        <w:t>300</w:t>
      </w:r>
      <w:r>
        <w:rPr>
          <w:rFonts w:hint="eastAsia" w:ascii="宋体" w:hAnsi="宋体"/>
          <w:color w:val="auto"/>
          <w:sz w:val="24"/>
          <w:highlight w:val="none"/>
        </w:rPr>
        <w:t>元</w:t>
      </w:r>
      <w:r>
        <w:rPr>
          <w:rFonts w:hint="eastAsia" w:ascii="宋体" w:hAnsi="宋体"/>
          <w:color w:val="auto"/>
          <w:sz w:val="24"/>
          <w:highlight w:val="none"/>
          <w:lang w:eastAsia="zh-CN"/>
        </w:rPr>
        <w:t>，</w:t>
      </w:r>
      <w:r>
        <w:rPr>
          <w:rFonts w:hint="eastAsia" w:ascii="宋体" w:hAnsi="宋体"/>
          <w:color w:val="auto"/>
          <w:sz w:val="24"/>
          <w:highlight w:val="none"/>
        </w:rPr>
        <w:t>联系人：</w:t>
      </w:r>
      <w:r>
        <w:rPr>
          <w:rFonts w:hint="eastAsia" w:ascii="宋体" w:hAnsi="宋体"/>
          <w:color w:val="auto"/>
          <w:sz w:val="24"/>
          <w:highlight w:val="none"/>
          <w:lang w:val="en-US" w:eastAsia="zh-CN"/>
        </w:rPr>
        <w:t>刘女士</w:t>
      </w:r>
      <w:r>
        <w:rPr>
          <w:rFonts w:hint="eastAsia" w:ascii="宋体" w:hAnsi="宋体"/>
          <w:color w:val="auto"/>
          <w:sz w:val="24"/>
          <w:highlight w:val="none"/>
        </w:rPr>
        <w:t>，</w:t>
      </w:r>
      <w:r>
        <w:rPr>
          <w:rFonts w:hint="eastAsia" w:ascii="宋体" w:hAnsi="宋体"/>
          <w:color w:val="auto"/>
          <w:sz w:val="24"/>
          <w:highlight w:val="none"/>
          <w:lang w:val="en-US" w:eastAsia="zh-CN"/>
        </w:rPr>
        <w:t>联系</w:t>
      </w:r>
      <w:r>
        <w:rPr>
          <w:rFonts w:hint="eastAsia" w:ascii="宋体" w:hAnsi="宋体"/>
          <w:color w:val="auto"/>
          <w:sz w:val="24"/>
          <w:highlight w:val="none"/>
        </w:rPr>
        <w:t>电话：0599-5622667，过期不售，售后不退。报名时须持以下资料：</w:t>
      </w:r>
    </w:p>
    <w:p>
      <w:pPr>
        <w:pStyle w:val="5"/>
        <w:pageBreakBefore w:val="0"/>
        <w:kinsoku/>
        <w:wordWrap/>
        <w:overflowPunct/>
        <w:topLinePunct w:val="0"/>
        <w:autoSpaceDE/>
        <w:autoSpaceDN/>
        <w:bidi w:val="0"/>
        <w:adjustRightInd/>
        <w:snapToGrid/>
        <w:spacing w:line="360" w:lineRule="auto"/>
        <w:ind w:left="0" w:leftChars="0" w:firstLine="480" w:firstLineChars="200"/>
        <w:rPr>
          <w:rFonts w:hint="eastAsia" w:eastAsia="宋体"/>
          <w:color w:val="auto"/>
          <w:highlight w:val="none"/>
          <w:lang w:val="en-US" w:eastAsia="zh-CN"/>
        </w:rPr>
      </w:pPr>
      <w:r>
        <w:rPr>
          <w:rFonts w:hint="eastAsia" w:ascii="宋体" w:hAnsi="宋体"/>
          <w:color w:val="auto"/>
          <w:sz w:val="24"/>
          <w:highlight w:val="none"/>
          <w:lang w:val="en-US" w:eastAsia="zh-CN"/>
        </w:rPr>
        <w:t>（1）营业执照复印件</w:t>
      </w:r>
      <w:r>
        <w:rPr>
          <w:rFonts w:hint="eastAsia" w:ascii="宋体" w:hAnsi="宋体"/>
          <w:color w:val="auto"/>
          <w:sz w:val="24"/>
          <w:highlight w:val="none"/>
        </w:rPr>
        <w:t>（加盖单位公章）</w:t>
      </w:r>
      <w:r>
        <w:rPr>
          <w:rFonts w:hint="eastAsia" w:ascii="宋体" w:hAnsi="宋体"/>
          <w:color w:val="auto"/>
          <w:sz w:val="24"/>
          <w:highlight w:val="none"/>
          <w:lang w:eastAsia="zh-CN"/>
        </w:rPr>
        <w:t>。</w:t>
      </w:r>
    </w:p>
    <w:p>
      <w:pPr>
        <w:pageBreakBefore w:val="0"/>
        <w:tabs>
          <w:tab w:val="left" w:pos="360"/>
        </w:tabs>
        <w:kinsoku/>
        <w:wordWrap/>
        <w:overflowPunct/>
        <w:topLinePunct w:val="0"/>
        <w:autoSpaceDE/>
        <w:autoSpaceDN/>
        <w:bidi w:val="0"/>
        <w:adjustRightInd/>
        <w:snapToGrid/>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2</w:t>
      </w:r>
      <w:r>
        <w:rPr>
          <w:rFonts w:hint="eastAsia" w:ascii="宋体" w:hAnsi="宋体"/>
          <w:color w:val="auto"/>
          <w:sz w:val="24"/>
          <w:highlight w:val="none"/>
        </w:rPr>
        <w:t>）法定代表人身份证明和身份证复印件及原件或其授权委托书、被授权人</w:t>
      </w:r>
      <w:r>
        <w:rPr>
          <w:rFonts w:hint="eastAsia"/>
          <w:color w:val="auto"/>
          <w:sz w:val="24"/>
          <w:highlight w:val="none"/>
        </w:rPr>
        <w:t>的</w:t>
      </w:r>
      <w:r>
        <w:rPr>
          <w:rFonts w:hint="eastAsia" w:ascii="宋体" w:hAnsi="宋体"/>
          <w:color w:val="auto"/>
          <w:sz w:val="24"/>
          <w:highlight w:val="none"/>
        </w:rPr>
        <w:t>身份证复印件（加盖单位公章）和原件。</w:t>
      </w:r>
    </w:p>
    <w:p>
      <w:pPr>
        <w:pageBreakBefore w:val="0"/>
        <w:kinsoku/>
        <w:wordWrap/>
        <w:overflowPunct/>
        <w:topLinePunct w:val="0"/>
        <w:autoSpaceDE/>
        <w:autoSpaceDN/>
        <w:bidi w:val="0"/>
        <w:adjustRightInd/>
        <w:snapToGrid/>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）未按要求提供上述资料的，选择人有权拒绝其报名。</w:t>
      </w:r>
    </w:p>
    <w:p>
      <w:pPr>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rPr>
        <w:t>）本次</w:t>
      </w:r>
      <w:r>
        <w:rPr>
          <w:rFonts w:hint="eastAsia" w:ascii="宋体" w:hAnsi="宋体"/>
          <w:color w:val="auto"/>
          <w:sz w:val="24"/>
          <w:highlight w:val="none"/>
          <w:lang w:val="en-US" w:eastAsia="zh-CN"/>
        </w:rPr>
        <w:t>供应商</w:t>
      </w:r>
      <w:r>
        <w:rPr>
          <w:rFonts w:hint="eastAsia" w:ascii="宋体" w:hAnsi="宋体"/>
          <w:color w:val="auto"/>
          <w:sz w:val="24"/>
          <w:highlight w:val="none"/>
        </w:rPr>
        <w:t>选择不办理邮购业务。</w:t>
      </w:r>
    </w:p>
    <w:p>
      <w:pPr>
        <w:pageBreakBefore w:val="0"/>
        <w:tabs>
          <w:tab w:val="left" w:pos="360"/>
        </w:tabs>
        <w:kinsoku/>
        <w:wordWrap/>
        <w:overflowPunct/>
        <w:topLinePunct w:val="0"/>
        <w:autoSpaceDE/>
        <w:autoSpaceDN/>
        <w:bidi w:val="0"/>
        <w:adjustRightInd/>
        <w:snapToGrid/>
        <w:spacing w:line="360" w:lineRule="auto"/>
        <w:ind w:left="239" w:leftChars="114" w:firstLine="240" w:firstLineChars="100"/>
        <w:jc w:val="left"/>
        <w:rPr>
          <w:rFonts w:hint="eastAsia" w:ascii="宋体" w:hAnsi="宋体" w:eastAsia="宋体" w:cs="Times New Roman"/>
          <w:color w:val="auto"/>
          <w:sz w:val="24"/>
          <w:highlight w:val="none"/>
          <w:u w:val="single"/>
          <w:lang w:val="en-US" w:eastAsia="zh-CN"/>
        </w:rPr>
      </w:pPr>
      <w:r>
        <w:rPr>
          <w:rFonts w:hint="eastAsia" w:ascii="宋体" w:hAnsi="宋体"/>
          <w:color w:val="auto"/>
          <w:sz w:val="24"/>
          <w:highlight w:val="none"/>
          <w:lang w:val="en-US" w:eastAsia="zh-CN"/>
        </w:rPr>
        <w:t xml:space="preserve">  4.2</w:t>
      </w:r>
      <w:r>
        <w:rPr>
          <w:rFonts w:hint="eastAsia" w:ascii="宋体" w:hAnsi="宋体" w:eastAsia="宋体" w:cs="Times New Roman"/>
          <w:b w:val="0"/>
          <w:color w:val="auto"/>
          <w:sz w:val="24"/>
          <w:highlight w:val="none"/>
          <w:u w:val="none"/>
          <w:lang w:val="en-US" w:eastAsia="zh-CN"/>
        </w:rPr>
        <w:t>网络获取：</w:t>
      </w:r>
      <w:r>
        <w:rPr>
          <w:rFonts w:hint="eastAsia" w:ascii="宋体" w:hAnsi="宋体" w:eastAsia="宋体" w:cs="Times New Roman"/>
          <w:color w:val="auto"/>
          <w:sz w:val="24"/>
          <w:highlight w:val="none"/>
          <w:u w:val="none"/>
        </w:rPr>
        <w:t>凡有意参加选择者，请于</w:t>
      </w:r>
      <w:r>
        <w:rPr>
          <w:rFonts w:hint="eastAsia" w:ascii="宋体" w:hAnsi="宋体" w:eastAsia="宋体" w:cs="Times New Roman"/>
          <w:color w:val="auto"/>
          <w:sz w:val="24"/>
          <w:highlight w:val="none"/>
          <w:u w:val="none"/>
          <w:lang w:val="en-US" w:eastAsia="zh-CN"/>
        </w:rPr>
        <w:t xml:space="preserve"> </w:t>
      </w:r>
      <w:r>
        <w:rPr>
          <w:rFonts w:hint="eastAsia" w:ascii="宋体" w:hAnsi="宋体" w:eastAsia="宋体" w:cs="Times New Roman"/>
          <w:color w:val="auto"/>
          <w:sz w:val="24"/>
          <w:highlight w:val="none"/>
          <w:u w:val="single"/>
          <w:lang w:val="en-US" w:eastAsia="zh-CN"/>
        </w:rPr>
        <w:t>2024</w:t>
      </w:r>
      <w:r>
        <w:rPr>
          <w:rFonts w:hint="eastAsia" w:ascii="宋体" w:hAnsi="宋体" w:eastAsia="宋体" w:cs="Times New Roman"/>
          <w:color w:val="auto"/>
          <w:sz w:val="24"/>
          <w:highlight w:val="none"/>
          <w:u w:val="none"/>
          <w:lang w:val="en-US" w:eastAsia="zh-CN"/>
        </w:rPr>
        <w:t xml:space="preserve"> </w:t>
      </w:r>
      <w:r>
        <w:rPr>
          <w:rFonts w:hint="eastAsia" w:ascii="宋体" w:hAnsi="宋体" w:eastAsia="宋体" w:cs="Times New Roman"/>
          <w:color w:val="auto"/>
          <w:sz w:val="24"/>
          <w:highlight w:val="none"/>
          <w:u w:val="none"/>
        </w:rPr>
        <w:t>年</w:t>
      </w:r>
      <w:r>
        <w:rPr>
          <w:rFonts w:hint="eastAsia" w:ascii="宋体" w:hAnsi="宋体" w:eastAsia="宋体" w:cs="Times New Roman"/>
          <w:color w:val="auto"/>
          <w:sz w:val="24"/>
          <w:highlight w:val="none"/>
          <w:u w:val="single"/>
          <w:lang w:val="en-US" w:eastAsia="zh-CN"/>
        </w:rPr>
        <w:t>4</w:t>
      </w:r>
      <w:r>
        <w:rPr>
          <w:rFonts w:hint="eastAsia" w:ascii="宋体" w:hAnsi="宋体" w:eastAsia="宋体" w:cs="Times New Roman"/>
          <w:color w:val="auto"/>
          <w:sz w:val="24"/>
          <w:highlight w:val="none"/>
          <w:u w:val="none"/>
        </w:rPr>
        <w:t>月</w:t>
      </w:r>
      <w:r>
        <w:rPr>
          <w:rFonts w:hint="eastAsia" w:ascii="宋体" w:hAnsi="宋体" w:eastAsia="宋体" w:cs="Times New Roman"/>
          <w:color w:val="auto"/>
          <w:sz w:val="24"/>
          <w:highlight w:val="none"/>
          <w:u w:val="single"/>
          <w:lang w:val="en-US" w:eastAsia="zh-CN"/>
        </w:rPr>
        <w:t>30</w:t>
      </w:r>
      <w:r>
        <w:rPr>
          <w:rFonts w:hint="eastAsia" w:ascii="宋体" w:hAnsi="宋体" w:eastAsia="宋体" w:cs="Times New Roman"/>
          <w:color w:val="auto"/>
          <w:sz w:val="24"/>
          <w:highlight w:val="none"/>
          <w:u w:val="none"/>
        </w:rPr>
        <w:t>日至</w:t>
      </w:r>
      <w:r>
        <w:rPr>
          <w:rFonts w:hint="eastAsia" w:ascii="宋体" w:hAnsi="宋体"/>
          <w:color w:val="auto"/>
          <w:sz w:val="24"/>
          <w:highlight w:val="none"/>
          <w:u w:val="single"/>
        </w:rPr>
        <w:t xml:space="preserve"> 202</w:t>
      </w:r>
      <w:r>
        <w:rPr>
          <w:rFonts w:hint="eastAsia" w:ascii="宋体" w:hAnsi="宋体"/>
          <w:color w:val="auto"/>
          <w:sz w:val="24"/>
          <w:highlight w:val="none"/>
          <w:u w:val="single"/>
          <w:lang w:val="en-US" w:eastAsia="zh-CN"/>
        </w:rPr>
        <w:t>4</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eastAsia="宋体" w:cs="Times New Roman"/>
          <w:color w:val="auto"/>
          <w:sz w:val="24"/>
          <w:highlight w:val="none"/>
          <w:u w:val="single"/>
          <w:lang w:val="en-US" w:eastAsia="zh-CN"/>
        </w:rPr>
        <w:t>5</w:t>
      </w:r>
      <w:r>
        <w:rPr>
          <w:rFonts w:hint="eastAsia" w:ascii="宋体" w:hAnsi="宋体" w:eastAsia="宋体" w:cs="Times New Roman"/>
          <w:color w:val="auto"/>
          <w:sz w:val="24"/>
          <w:highlight w:val="none"/>
          <w:u w:val="none"/>
        </w:rPr>
        <w:t>月</w:t>
      </w:r>
      <w:r>
        <w:rPr>
          <w:rFonts w:hint="eastAsia" w:ascii="宋体" w:hAnsi="宋体" w:eastAsia="宋体" w:cs="Times New Roman"/>
          <w:color w:val="auto"/>
          <w:sz w:val="24"/>
          <w:highlight w:val="none"/>
          <w:u w:val="single"/>
          <w:lang w:val="en-US" w:eastAsia="zh-CN"/>
        </w:rPr>
        <w:t>6</w:t>
      </w:r>
      <w:r>
        <w:rPr>
          <w:rFonts w:hint="eastAsia" w:ascii="宋体" w:hAnsi="宋体"/>
          <w:color w:val="auto"/>
          <w:sz w:val="24"/>
          <w:highlight w:val="none"/>
        </w:rPr>
        <w:t>日</w:t>
      </w:r>
      <w:r>
        <w:rPr>
          <w:rFonts w:hint="eastAsia" w:ascii="宋体" w:hAnsi="宋体" w:eastAsia="宋体" w:cs="Times New Roman"/>
          <w:color w:val="auto"/>
          <w:sz w:val="24"/>
          <w:highlight w:val="none"/>
          <w:u w:val="none"/>
          <w:lang w:val="en-US" w:eastAsia="zh-CN"/>
        </w:rPr>
        <w:t>将购买选择文件费用</w:t>
      </w:r>
      <w:r>
        <w:rPr>
          <w:rFonts w:hint="eastAsia" w:ascii="宋体" w:hAnsi="宋体" w:eastAsia="宋体" w:cs="Times New Roman"/>
          <w:color w:val="auto"/>
          <w:sz w:val="24"/>
          <w:highlight w:val="none"/>
          <w:u w:val="single"/>
          <w:lang w:val="en-US" w:eastAsia="zh-CN"/>
        </w:rPr>
        <w:t>300元</w:t>
      </w:r>
      <w:r>
        <w:rPr>
          <w:rFonts w:hint="eastAsia" w:ascii="宋体" w:hAnsi="宋体" w:eastAsia="宋体" w:cs="Times New Roman"/>
          <w:color w:val="auto"/>
          <w:kern w:val="0"/>
          <w:sz w:val="24"/>
          <w:highlight w:val="none"/>
          <w:u w:val="none"/>
        </w:rPr>
        <w:t>从企业账户</w:t>
      </w:r>
      <w:r>
        <w:rPr>
          <w:rFonts w:hint="eastAsia" w:ascii="宋体" w:hAnsi="宋体" w:eastAsia="宋体" w:cs="Times New Roman"/>
          <w:color w:val="auto"/>
          <w:kern w:val="0"/>
          <w:sz w:val="24"/>
          <w:highlight w:val="none"/>
          <w:u w:val="none"/>
          <w:lang w:eastAsia="zh-CN"/>
        </w:rPr>
        <w:t>一次性</w:t>
      </w:r>
      <w:r>
        <w:rPr>
          <w:rFonts w:hint="eastAsia" w:ascii="宋体" w:hAnsi="宋体" w:eastAsia="宋体" w:cs="Times New Roman"/>
          <w:color w:val="auto"/>
          <w:kern w:val="0"/>
          <w:sz w:val="24"/>
          <w:highlight w:val="none"/>
          <w:u w:val="none"/>
        </w:rPr>
        <w:t>汇出</w:t>
      </w:r>
      <w:r>
        <w:rPr>
          <w:rFonts w:hint="eastAsia" w:ascii="宋体" w:hAnsi="宋体" w:eastAsia="宋体" w:cs="Times New Roman"/>
          <w:color w:val="auto"/>
          <w:kern w:val="0"/>
          <w:sz w:val="24"/>
          <w:highlight w:val="none"/>
          <w:u w:val="none"/>
          <w:lang w:eastAsia="zh-CN"/>
        </w:rPr>
        <w:t>（以到账时间为准，</w:t>
      </w:r>
      <w:r>
        <w:rPr>
          <w:rFonts w:hint="eastAsia" w:ascii="宋体" w:hAnsi="宋体" w:eastAsia="宋体" w:cs="Times New Roman"/>
          <w:color w:val="auto"/>
          <w:kern w:val="0"/>
          <w:sz w:val="24"/>
          <w:highlight w:val="none"/>
          <w:u w:val="none"/>
          <w:lang w:val="en-US" w:eastAsia="zh-CN"/>
        </w:rPr>
        <w:t>汇出账户名称与企业名称应一致</w:t>
      </w:r>
      <w:r>
        <w:rPr>
          <w:rFonts w:hint="eastAsia" w:ascii="宋体" w:hAnsi="宋体" w:eastAsia="宋体" w:cs="Times New Roman"/>
          <w:color w:val="auto"/>
          <w:kern w:val="0"/>
          <w:sz w:val="24"/>
          <w:highlight w:val="none"/>
          <w:u w:val="none"/>
          <w:lang w:eastAsia="zh-CN"/>
        </w:rPr>
        <w:t>），</w:t>
      </w:r>
      <w:r>
        <w:rPr>
          <w:rFonts w:hint="eastAsia" w:ascii="宋体" w:hAnsi="宋体" w:eastAsia="宋体" w:cs="Times New Roman"/>
          <w:color w:val="auto"/>
          <w:kern w:val="0"/>
          <w:sz w:val="24"/>
          <w:highlight w:val="none"/>
          <w:u w:val="none"/>
          <w:lang w:val="en-US" w:eastAsia="zh-CN"/>
        </w:rPr>
        <w:t>转账购买选择文件开户银行：</w:t>
      </w:r>
      <w:r>
        <w:rPr>
          <w:rFonts w:hint="eastAsia" w:ascii="宋体" w:hAnsi="宋体" w:eastAsia="宋体" w:cs="Times New Roman"/>
          <w:color w:val="auto"/>
          <w:kern w:val="0"/>
          <w:sz w:val="24"/>
          <w:highlight w:val="none"/>
          <w:u w:val="single"/>
          <w:lang w:val="en-US" w:eastAsia="zh-CN"/>
        </w:rPr>
        <w:t xml:space="preserve"> </w:t>
      </w:r>
      <w:r>
        <w:rPr>
          <w:rFonts w:hint="eastAsia" w:ascii="宋体" w:hAnsi="宋体" w:eastAsia="宋体" w:cs="Times New Roman"/>
          <w:b w:val="0"/>
          <w:bCs w:val="0"/>
          <w:color w:val="auto"/>
          <w:kern w:val="0"/>
          <w:sz w:val="24"/>
          <w:szCs w:val="20"/>
          <w:highlight w:val="none"/>
          <w:u w:val="single"/>
          <w:lang w:val="en-US" w:eastAsia="zh-CN" w:bidi="ar"/>
        </w:rPr>
        <w:t>农行南平三元支行</w:t>
      </w:r>
      <w:r>
        <w:rPr>
          <w:rFonts w:hint="eastAsia" w:ascii="宋体" w:hAnsi="宋体" w:eastAsia="宋体" w:cs="Times New Roman"/>
          <w:color w:val="auto"/>
          <w:kern w:val="0"/>
          <w:sz w:val="24"/>
          <w:highlight w:val="none"/>
          <w:u w:val="single"/>
          <w:lang w:val="en-US" w:eastAsia="zh-CN"/>
        </w:rPr>
        <w:t xml:space="preserve"> </w:t>
      </w:r>
      <w:r>
        <w:rPr>
          <w:rFonts w:hint="eastAsia" w:ascii="宋体" w:hAnsi="宋体" w:eastAsia="宋体" w:cs="Times New Roman"/>
          <w:color w:val="auto"/>
          <w:sz w:val="24"/>
          <w:highlight w:val="none"/>
          <w:u w:val="single"/>
          <w:lang w:val="en-US" w:eastAsia="zh-CN"/>
        </w:rPr>
        <w:t>，</w:t>
      </w:r>
      <w:r>
        <w:rPr>
          <w:rFonts w:hint="eastAsia" w:ascii="宋体" w:hAnsi="宋体" w:eastAsia="宋体" w:cs="Times New Roman"/>
          <w:color w:val="auto"/>
          <w:sz w:val="24"/>
          <w:highlight w:val="none"/>
          <w:u w:val="none"/>
        </w:rPr>
        <w:t>开户名称：</w:t>
      </w:r>
      <w:r>
        <w:rPr>
          <w:rFonts w:hint="eastAsia" w:ascii="宋体" w:hAnsi="宋体" w:eastAsia="宋体" w:cs="Times New Roman"/>
          <w:color w:val="auto"/>
          <w:sz w:val="24"/>
          <w:highlight w:val="none"/>
          <w:u w:val="single"/>
          <w:lang w:val="en-US" w:eastAsia="zh-CN"/>
        </w:rPr>
        <w:t>福建晖源工程咨询有限公司 ，</w:t>
      </w:r>
      <w:r>
        <w:rPr>
          <w:rFonts w:hint="eastAsia" w:ascii="宋体" w:hAnsi="宋体" w:eastAsia="宋体" w:cs="Times New Roman"/>
          <w:color w:val="auto"/>
          <w:sz w:val="24"/>
          <w:highlight w:val="none"/>
          <w:u w:val="none"/>
          <w:lang w:val="en-US" w:eastAsia="zh-CN"/>
        </w:rPr>
        <w:t>账</w:t>
      </w:r>
      <w:r>
        <w:rPr>
          <w:rFonts w:hint="eastAsia" w:ascii="宋体" w:hAnsi="宋体" w:eastAsia="宋体" w:cs="Times New Roman"/>
          <w:color w:val="auto"/>
          <w:sz w:val="24"/>
          <w:highlight w:val="none"/>
          <w:u w:val="none"/>
        </w:rPr>
        <w:t>号：</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b w:val="0"/>
          <w:bCs w:val="0"/>
          <w:color w:val="auto"/>
          <w:kern w:val="0"/>
          <w:sz w:val="24"/>
          <w:szCs w:val="20"/>
          <w:highlight w:val="none"/>
          <w:u w:val="single"/>
          <w:lang w:val="en-US" w:eastAsia="zh-CN" w:bidi="ar"/>
        </w:rPr>
        <w:t>13911301040002420</w:t>
      </w:r>
      <w:r>
        <w:rPr>
          <w:rFonts w:hint="eastAsia" w:ascii="宋体" w:hAnsi="宋体" w:eastAsia="宋体" w:cs="Times New Roman"/>
          <w:color w:val="auto"/>
          <w:sz w:val="24"/>
          <w:highlight w:val="none"/>
          <w:u w:val="single"/>
          <w:lang w:val="en-US" w:eastAsia="zh-CN"/>
        </w:rPr>
        <w:t xml:space="preserve"> 。 </w:t>
      </w:r>
      <w:r>
        <w:rPr>
          <w:rFonts w:hint="eastAsia" w:ascii="宋体" w:hAnsi="宋体" w:eastAsia="宋体" w:cs="Times New Roman"/>
          <w:color w:val="auto"/>
          <w:sz w:val="24"/>
          <w:highlight w:val="none"/>
          <w:u w:val="none"/>
          <w:lang w:val="en-US" w:eastAsia="zh-CN"/>
        </w:rPr>
        <w:t xml:space="preserve">                      </w:t>
      </w:r>
      <w:r>
        <w:rPr>
          <w:rFonts w:hint="eastAsia" w:ascii="宋体" w:hAnsi="宋体" w:eastAsia="宋体" w:cs="Times New Roman"/>
          <w:color w:val="auto"/>
          <w:kern w:val="0"/>
          <w:sz w:val="24"/>
          <w:highlight w:val="none"/>
          <w:u w:val="none"/>
          <w:lang w:val="en-US" w:eastAsia="zh-CN"/>
        </w:rPr>
        <w:t xml:space="preserve">         </w:t>
      </w:r>
      <w:r>
        <w:rPr>
          <w:rFonts w:hint="eastAsia" w:ascii="宋体" w:hAnsi="宋体" w:eastAsia="宋体" w:cs="Times New Roman"/>
          <w:color w:val="auto"/>
          <w:sz w:val="24"/>
          <w:highlight w:val="none"/>
          <w:u w:val="none"/>
          <w:lang w:val="en-US" w:eastAsia="zh-CN"/>
        </w:rPr>
        <w:t xml:space="preserve">                                       </w:t>
      </w:r>
      <w:r>
        <w:rPr>
          <w:rFonts w:hint="eastAsia" w:ascii="宋体" w:hAnsi="宋体" w:eastAsia="宋体" w:cs="Times New Roman"/>
          <w:color w:val="auto"/>
          <w:sz w:val="24"/>
          <w:highlight w:val="none"/>
          <w:u w:val="single"/>
          <w:lang w:val="en-US" w:eastAsia="zh-CN"/>
        </w:rPr>
        <w:t xml:space="preserve">   </w:t>
      </w:r>
    </w:p>
    <w:p>
      <w:pPr>
        <w:pageBreakBefore w:val="0"/>
        <w:tabs>
          <w:tab w:val="left" w:pos="360"/>
        </w:tabs>
        <w:kinsoku/>
        <w:wordWrap/>
        <w:overflowPunct/>
        <w:topLinePunct w:val="0"/>
        <w:autoSpaceDE/>
        <w:autoSpaceDN/>
        <w:bidi w:val="0"/>
        <w:adjustRightInd/>
        <w:snapToGrid/>
        <w:spacing w:line="360" w:lineRule="auto"/>
        <w:ind w:firstLine="480" w:firstLineChars="200"/>
        <w:rPr>
          <w:rFonts w:hint="eastAsia" w:ascii="宋体" w:hAnsi="宋体" w:eastAsia="宋体" w:cs="Times New Roman"/>
          <w:color w:val="auto"/>
          <w:kern w:val="0"/>
          <w:sz w:val="24"/>
          <w:highlight w:val="none"/>
          <w:u w:val="none"/>
          <w:lang w:eastAsia="zh-CN"/>
        </w:rPr>
      </w:pPr>
      <w:r>
        <w:rPr>
          <w:rFonts w:hint="eastAsia" w:ascii="宋体" w:hAnsi="宋体" w:eastAsia="宋体" w:cs="Times New Roman"/>
          <w:color w:val="auto"/>
          <w:sz w:val="24"/>
          <w:highlight w:val="none"/>
          <w:u w:val="none"/>
        </w:rPr>
        <w:t>用 途：（请注明）“</w:t>
      </w:r>
      <w:r>
        <w:rPr>
          <w:rFonts w:hint="eastAsia"/>
          <w:color w:val="auto"/>
          <w:sz w:val="24"/>
          <w:highlight w:val="none"/>
          <w:u w:val="single"/>
          <w:lang w:val="en-US" w:eastAsia="zh-CN"/>
        </w:rPr>
        <w:t>管道材料供应商</w:t>
      </w:r>
      <w:r>
        <w:rPr>
          <w:rFonts w:hint="eastAsia" w:ascii="宋体" w:hAnsi="宋体" w:eastAsia="宋体" w:cs="Times New Roman"/>
          <w:b w:val="0"/>
          <w:color w:val="auto"/>
          <w:kern w:val="0"/>
          <w:sz w:val="24"/>
          <w:highlight w:val="none"/>
          <w:u w:val="single"/>
          <w:lang w:val="en-US" w:eastAsia="zh-CN"/>
        </w:rPr>
        <w:t>选择文件</w:t>
      </w:r>
      <w:r>
        <w:rPr>
          <w:rFonts w:hint="eastAsia" w:ascii="宋体" w:hAnsi="宋体" w:eastAsia="宋体" w:cs="Times New Roman"/>
          <w:b w:val="0"/>
          <w:color w:val="auto"/>
          <w:sz w:val="24"/>
          <w:highlight w:val="none"/>
          <w:u w:val="none"/>
        </w:rPr>
        <w:t>”</w:t>
      </w:r>
      <w:r>
        <w:rPr>
          <w:rFonts w:hint="eastAsia" w:ascii="宋体" w:hAnsi="宋体" w:eastAsia="宋体" w:cs="Times New Roman"/>
          <w:color w:val="auto"/>
          <w:sz w:val="24"/>
          <w:highlight w:val="none"/>
          <w:u w:val="none"/>
        </w:rPr>
        <w:t xml:space="preserve"> </w:t>
      </w:r>
      <w:r>
        <w:rPr>
          <w:rFonts w:hint="eastAsia" w:ascii="宋体" w:hAnsi="宋体" w:eastAsia="宋体" w:cs="Times New Roman"/>
          <w:color w:val="auto"/>
          <w:sz w:val="24"/>
          <w:highlight w:val="none"/>
          <w:u w:val="none"/>
          <w:lang w:val="en-US" w:eastAsia="zh-CN"/>
        </w:rPr>
        <w:t>，</w:t>
      </w:r>
      <w:r>
        <w:rPr>
          <w:rFonts w:hint="eastAsia" w:ascii="宋体" w:hAnsi="宋体"/>
          <w:color w:val="auto"/>
          <w:sz w:val="24"/>
          <w:highlight w:val="none"/>
        </w:rPr>
        <w:t>报名时须</w:t>
      </w:r>
      <w:r>
        <w:rPr>
          <w:rFonts w:hint="eastAsia" w:ascii="宋体" w:hAnsi="宋体"/>
          <w:color w:val="auto"/>
          <w:sz w:val="24"/>
          <w:highlight w:val="none"/>
          <w:lang w:val="en-US" w:eastAsia="zh-CN"/>
        </w:rPr>
        <w:t>将以</w:t>
      </w:r>
      <w:r>
        <w:rPr>
          <w:rFonts w:hint="eastAsia" w:ascii="宋体" w:hAnsi="宋体"/>
          <w:color w:val="auto"/>
          <w:sz w:val="24"/>
          <w:highlight w:val="none"/>
        </w:rPr>
        <w:t>下资料</w:t>
      </w:r>
      <w:r>
        <w:rPr>
          <w:rFonts w:hint="eastAsia" w:ascii="宋体" w:hAnsi="宋体" w:eastAsia="宋体" w:cs="Times New Roman"/>
          <w:color w:val="auto"/>
          <w:sz w:val="24"/>
          <w:highlight w:val="none"/>
          <w:u w:val="none"/>
          <w:lang w:val="en-US" w:eastAsia="zh-CN"/>
        </w:rPr>
        <w:t>发至邮箱：</w:t>
      </w:r>
      <w:r>
        <w:rPr>
          <w:rFonts w:hint="eastAsia" w:ascii="宋体" w:hAnsi="宋体" w:eastAsia="宋体" w:cs="Times New Roman"/>
          <w:color w:val="auto"/>
          <w:sz w:val="24"/>
          <w:highlight w:val="none"/>
          <w:u w:val="single"/>
          <w:lang w:val="en-US" w:eastAsia="zh-CN"/>
        </w:rPr>
        <w:t>631124547@qq.com</w:t>
      </w:r>
      <w:r>
        <w:rPr>
          <w:rFonts w:hint="eastAsia" w:ascii="宋体" w:hAnsi="宋体" w:eastAsia="宋体" w:cs="Times New Roman"/>
          <w:color w:val="auto"/>
          <w:sz w:val="24"/>
          <w:highlight w:val="none"/>
          <w:u w:val="none"/>
          <w:lang w:val="en-US" w:eastAsia="zh-CN"/>
        </w:rPr>
        <w:t xml:space="preserve"> ，</w:t>
      </w:r>
      <w:r>
        <w:rPr>
          <w:rFonts w:hint="eastAsia" w:ascii="宋体" w:hAnsi="宋体" w:eastAsia="宋体" w:cs="Times New Roman"/>
          <w:color w:val="auto"/>
          <w:kern w:val="0"/>
          <w:sz w:val="24"/>
          <w:highlight w:val="none"/>
          <w:u w:val="none"/>
        </w:rPr>
        <w:t>否则</w:t>
      </w:r>
      <w:r>
        <w:rPr>
          <w:rFonts w:hint="eastAsia" w:ascii="宋体" w:hAnsi="宋体"/>
          <w:color w:val="auto"/>
          <w:sz w:val="24"/>
          <w:highlight w:val="none"/>
        </w:rPr>
        <w:t>选择人有权拒绝其报名</w:t>
      </w:r>
      <w:r>
        <w:rPr>
          <w:rFonts w:hint="eastAsia" w:ascii="宋体" w:hAnsi="宋体" w:eastAsia="宋体" w:cs="Times New Roman"/>
          <w:color w:val="auto"/>
          <w:kern w:val="0"/>
          <w:sz w:val="24"/>
          <w:highlight w:val="none"/>
          <w:u w:val="none"/>
          <w:lang w:eastAsia="zh-CN"/>
        </w:rPr>
        <w:t>。</w:t>
      </w:r>
    </w:p>
    <w:p>
      <w:pPr>
        <w:pStyle w:val="5"/>
        <w:pageBreakBefore w:val="0"/>
        <w:kinsoku/>
        <w:wordWrap/>
        <w:overflowPunct/>
        <w:topLinePunct w:val="0"/>
        <w:autoSpaceDE/>
        <w:autoSpaceDN/>
        <w:bidi w:val="0"/>
        <w:adjustRightInd/>
        <w:snapToGrid/>
        <w:spacing w:line="360" w:lineRule="auto"/>
        <w:rPr>
          <w:rFonts w:hint="default"/>
          <w:color w:val="auto"/>
          <w:highlight w:val="none"/>
          <w:lang w:val="en-US" w:eastAsia="zh-CN"/>
        </w:rPr>
      </w:pPr>
      <w:r>
        <w:rPr>
          <w:rFonts w:hint="eastAsia" w:ascii="宋体" w:hAnsi="宋体" w:eastAsia="宋体" w:cs="Times New Roman"/>
          <w:color w:val="auto"/>
          <w:kern w:val="0"/>
          <w:sz w:val="24"/>
          <w:highlight w:val="none"/>
          <w:u w:val="none"/>
          <w:lang w:val="en-US" w:eastAsia="zh-CN"/>
        </w:rPr>
        <w:t>（1）</w:t>
      </w:r>
      <w:r>
        <w:rPr>
          <w:rFonts w:hint="eastAsia" w:ascii="宋体" w:hAnsi="宋体"/>
          <w:color w:val="auto"/>
          <w:sz w:val="24"/>
          <w:highlight w:val="none"/>
          <w:lang w:val="en-US" w:eastAsia="zh-CN"/>
        </w:rPr>
        <w:t>营业执照复印件</w:t>
      </w:r>
      <w:r>
        <w:rPr>
          <w:rFonts w:hint="eastAsia" w:ascii="宋体" w:hAnsi="宋体"/>
          <w:color w:val="auto"/>
          <w:sz w:val="24"/>
          <w:highlight w:val="none"/>
        </w:rPr>
        <w:t>（加盖单位公章）</w:t>
      </w:r>
      <w:r>
        <w:rPr>
          <w:rFonts w:hint="eastAsia" w:ascii="宋体" w:hAnsi="宋体"/>
          <w:color w:val="auto"/>
          <w:sz w:val="24"/>
          <w:highlight w:val="none"/>
          <w:lang w:eastAsia="zh-CN"/>
        </w:rPr>
        <w:t>。</w:t>
      </w:r>
    </w:p>
    <w:p>
      <w:pPr>
        <w:pageBreakBefore w:val="0"/>
        <w:tabs>
          <w:tab w:val="left" w:pos="360"/>
        </w:tabs>
        <w:kinsoku/>
        <w:wordWrap/>
        <w:overflowPunct/>
        <w:topLinePunct w:val="0"/>
        <w:autoSpaceDE/>
        <w:autoSpaceDN/>
        <w:bidi w:val="0"/>
        <w:adjustRightInd/>
        <w:snapToGrid/>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2</w:t>
      </w:r>
      <w:r>
        <w:rPr>
          <w:rFonts w:hint="eastAsia" w:ascii="宋体" w:hAnsi="宋体"/>
          <w:color w:val="auto"/>
          <w:sz w:val="24"/>
          <w:highlight w:val="none"/>
        </w:rPr>
        <w:t>）法定代表人身份证明和身份证复印件或其授权委托书、被授权人</w:t>
      </w:r>
      <w:r>
        <w:rPr>
          <w:rFonts w:hint="eastAsia"/>
          <w:color w:val="auto"/>
          <w:sz w:val="24"/>
          <w:highlight w:val="none"/>
        </w:rPr>
        <w:t>的</w:t>
      </w:r>
      <w:r>
        <w:rPr>
          <w:rFonts w:hint="eastAsia" w:ascii="宋体" w:hAnsi="宋体"/>
          <w:color w:val="auto"/>
          <w:sz w:val="24"/>
          <w:highlight w:val="none"/>
        </w:rPr>
        <w:t>身份证复印件（加盖单位公章）。</w:t>
      </w:r>
    </w:p>
    <w:p>
      <w:pPr>
        <w:pStyle w:val="5"/>
        <w:pageBreakBefore w:val="0"/>
        <w:kinsoku/>
        <w:wordWrap/>
        <w:overflowPunct/>
        <w:topLinePunct w:val="0"/>
        <w:autoSpaceDE/>
        <w:autoSpaceDN/>
        <w:bidi w:val="0"/>
        <w:adjustRightInd/>
        <w:snapToGrid/>
        <w:spacing w:line="360" w:lineRule="auto"/>
        <w:rPr>
          <w:rFonts w:hint="eastAsia" w:ascii="宋体" w:hAnsi="宋体" w:eastAsia="宋体" w:cs="Times New Roman"/>
          <w:color w:val="auto"/>
          <w:sz w:val="24"/>
          <w:highlight w:val="none"/>
          <w:u w:val="none"/>
          <w:lang w:val="en-US" w:eastAsia="zh-CN"/>
        </w:rPr>
      </w:pPr>
      <w:r>
        <w:rPr>
          <w:rFonts w:hint="eastAsia" w:ascii="宋体" w:hAnsi="宋体" w:eastAsia="宋体" w:cs="Times New Roman"/>
          <w:color w:val="auto"/>
          <w:sz w:val="24"/>
          <w:highlight w:val="none"/>
          <w:u w:val="none"/>
          <w:lang w:val="en-US" w:eastAsia="zh-CN"/>
        </w:rPr>
        <w:t>（3）转账记录凭证</w:t>
      </w:r>
      <w:r>
        <w:rPr>
          <w:rFonts w:hint="eastAsia" w:ascii="宋体" w:hAnsi="宋体"/>
          <w:color w:val="auto"/>
          <w:sz w:val="24"/>
          <w:highlight w:val="none"/>
        </w:rPr>
        <w:t>（加盖单位公章）</w:t>
      </w:r>
      <w:r>
        <w:rPr>
          <w:rFonts w:hint="eastAsia" w:ascii="宋体" w:hAnsi="宋体" w:eastAsia="宋体" w:cs="Times New Roman"/>
          <w:color w:val="auto"/>
          <w:sz w:val="24"/>
          <w:highlight w:val="none"/>
          <w:u w:val="none"/>
          <w:lang w:val="en-US" w:eastAsia="zh-CN"/>
        </w:rPr>
        <w:t>。</w:t>
      </w:r>
    </w:p>
    <w:p>
      <w:pPr>
        <w:pageBreakBefore w:val="0"/>
        <w:kinsoku/>
        <w:wordWrap/>
        <w:overflowPunct/>
        <w:topLinePunct w:val="0"/>
        <w:autoSpaceDE/>
        <w:autoSpaceDN/>
        <w:bidi w:val="0"/>
        <w:adjustRightInd/>
        <w:snapToGrid/>
        <w:spacing w:line="360" w:lineRule="auto"/>
        <w:ind w:firstLine="482" w:firstLineChars="200"/>
        <w:rPr>
          <w:rFonts w:ascii="宋体" w:hAnsi="宋体"/>
          <w:b/>
          <w:color w:val="auto"/>
          <w:sz w:val="24"/>
          <w:highlight w:val="none"/>
        </w:rPr>
      </w:pPr>
      <w:bookmarkStart w:id="16" w:name="_Toc234382574"/>
      <w:bookmarkStart w:id="17" w:name="_Toc243796164"/>
      <w:bookmarkStart w:id="18" w:name="_Toc344732470"/>
      <w:bookmarkStart w:id="19" w:name="_Toc245379320"/>
      <w:r>
        <w:rPr>
          <w:rFonts w:hint="eastAsia" w:ascii="宋体" w:hAnsi="宋体"/>
          <w:b/>
          <w:color w:val="auto"/>
          <w:sz w:val="24"/>
          <w:highlight w:val="none"/>
        </w:rPr>
        <w:t>5.</w:t>
      </w:r>
      <w:r>
        <w:rPr>
          <w:rFonts w:hint="eastAsia" w:ascii="宋体" w:hAnsi="宋体"/>
          <w:b/>
          <w:color w:val="auto"/>
          <w:sz w:val="24"/>
          <w:highlight w:val="none"/>
          <w:lang w:val="en-US" w:eastAsia="zh-CN"/>
        </w:rPr>
        <w:t>选择</w:t>
      </w:r>
      <w:r>
        <w:rPr>
          <w:rFonts w:hint="eastAsia" w:ascii="宋体" w:hAnsi="宋体"/>
          <w:b/>
          <w:color w:val="auto"/>
          <w:sz w:val="24"/>
          <w:highlight w:val="none"/>
        </w:rPr>
        <w:t>承诺文件的递交</w:t>
      </w:r>
      <w:bookmarkEnd w:id="16"/>
      <w:r>
        <w:rPr>
          <w:rFonts w:hint="eastAsia" w:ascii="宋体" w:hAnsi="宋体"/>
          <w:b/>
          <w:color w:val="auto"/>
          <w:sz w:val="24"/>
          <w:highlight w:val="none"/>
        </w:rPr>
        <w:t>及相关事宜</w:t>
      </w:r>
      <w:bookmarkEnd w:id="17"/>
      <w:bookmarkEnd w:id="18"/>
      <w:bookmarkEnd w:id="19"/>
    </w:p>
    <w:p>
      <w:pPr>
        <w:pageBreakBefore w:val="0"/>
        <w:kinsoku/>
        <w:wordWrap/>
        <w:overflowPunct/>
        <w:topLinePunct w:val="0"/>
        <w:autoSpaceDE/>
        <w:autoSpaceDN/>
        <w:bidi w:val="0"/>
        <w:adjustRightInd/>
        <w:snapToGrid/>
        <w:spacing w:line="360" w:lineRule="auto"/>
        <w:ind w:firstLine="480" w:firstLineChars="200"/>
        <w:rPr>
          <w:rFonts w:ascii="宋体" w:hAnsi="宋体"/>
          <w:color w:val="auto"/>
          <w:sz w:val="24"/>
          <w:highlight w:val="none"/>
        </w:rPr>
      </w:pPr>
      <w:r>
        <w:rPr>
          <w:rFonts w:hint="eastAsia" w:ascii="宋体" w:hAnsi="宋体"/>
          <w:color w:val="auto"/>
          <w:sz w:val="24"/>
          <w:highlight w:val="none"/>
        </w:rPr>
        <w:t>5.1 本次评审不组织踏勘现场，承诺人自行踏勘，费用自理。</w:t>
      </w:r>
    </w:p>
    <w:p>
      <w:pPr>
        <w:pageBreakBefore w:val="0"/>
        <w:kinsoku/>
        <w:wordWrap/>
        <w:overflowPunct/>
        <w:topLinePunct w:val="0"/>
        <w:autoSpaceDE/>
        <w:autoSpaceDN/>
        <w:bidi w:val="0"/>
        <w:adjustRightInd/>
        <w:snapToGrid/>
        <w:spacing w:line="360" w:lineRule="auto"/>
        <w:ind w:firstLine="480" w:firstLineChars="200"/>
        <w:rPr>
          <w:rFonts w:hint="eastAsia" w:ascii="宋体" w:hAnsi="宋体"/>
          <w:color w:val="auto"/>
          <w:sz w:val="24"/>
          <w:highlight w:val="none"/>
          <w:lang w:eastAsia="zh-CN"/>
        </w:rPr>
      </w:pPr>
      <w:r>
        <w:rPr>
          <w:rFonts w:hint="eastAsia" w:ascii="宋体" w:hAnsi="宋体"/>
          <w:color w:val="auto"/>
          <w:sz w:val="24"/>
          <w:highlight w:val="none"/>
        </w:rPr>
        <w:t>5.2承诺文件递交的</w:t>
      </w:r>
      <w:r>
        <w:rPr>
          <w:rFonts w:hint="eastAsia" w:ascii="宋体" w:hAnsi="宋体"/>
          <w:color w:val="auto"/>
          <w:sz w:val="24"/>
          <w:highlight w:val="none"/>
          <w:lang w:val="en-US" w:eastAsia="zh-CN"/>
        </w:rPr>
        <w:t>截止</w:t>
      </w:r>
      <w:r>
        <w:rPr>
          <w:rFonts w:hint="eastAsia" w:ascii="宋体" w:hAnsi="宋体"/>
          <w:color w:val="auto"/>
          <w:sz w:val="24"/>
          <w:highlight w:val="none"/>
        </w:rPr>
        <w:t>时间</w:t>
      </w:r>
      <w:r>
        <w:rPr>
          <w:rFonts w:hint="eastAsia" w:ascii="宋体" w:hAnsi="宋体"/>
          <w:color w:val="auto"/>
          <w:sz w:val="24"/>
          <w:highlight w:val="none"/>
          <w:lang w:eastAsia="zh-CN"/>
        </w:rPr>
        <w:t>：</w:t>
      </w:r>
      <w:r>
        <w:rPr>
          <w:rFonts w:hint="eastAsia" w:ascii="宋体" w:hAnsi="宋体"/>
          <w:color w:val="auto"/>
          <w:sz w:val="24"/>
          <w:highlight w:val="none"/>
          <w:u w:val="single"/>
        </w:rPr>
        <w:t xml:space="preserve">  202</w:t>
      </w:r>
      <w:r>
        <w:rPr>
          <w:rFonts w:hint="eastAsia" w:ascii="宋体" w:hAnsi="宋体"/>
          <w:color w:val="auto"/>
          <w:sz w:val="24"/>
          <w:highlight w:val="none"/>
          <w:u w:val="single"/>
          <w:lang w:val="en-US" w:eastAsia="zh-CN"/>
        </w:rPr>
        <w:t>4</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lang w:val="en-US" w:eastAsia="zh-CN"/>
        </w:rPr>
        <w:t>5</w:t>
      </w:r>
      <w:r>
        <w:rPr>
          <w:rFonts w:hint="eastAsia" w:ascii="宋体" w:hAnsi="宋体"/>
          <w:color w:val="auto"/>
          <w:sz w:val="24"/>
          <w:highlight w:val="none"/>
        </w:rPr>
        <w:t>月</w:t>
      </w:r>
      <w:r>
        <w:rPr>
          <w:rFonts w:hint="eastAsia" w:ascii="宋体" w:hAnsi="宋体"/>
          <w:color w:val="auto"/>
          <w:sz w:val="24"/>
          <w:highlight w:val="none"/>
          <w:u w:val="single"/>
          <w:lang w:val="en-US" w:eastAsia="zh-CN"/>
        </w:rPr>
        <w:t>7</w:t>
      </w:r>
      <w:r>
        <w:rPr>
          <w:rFonts w:hint="eastAsia" w:ascii="宋体" w:hAnsi="宋体"/>
          <w:color w:val="auto"/>
          <w:sz w:val="24"/>
          <w:highlight w:val="none"/>
        </w:rPr>
        <w:t>日</w:t>
      </w:r>
      <w:r>
        <w:rPr>
          <w:rFonts w:hint="eastAsia" w:ascii="宋体" w:hAnsi="宋体"/>
          <w:color w:val="auto"/>
          <w:sz w:val="24"/>
          <w:highlight w:val="none"/>
          <w:lang w:val="en-US" w:eastAsia="zh-CN"/>
        </w:rPr>
        <w:t>15</w:t>
      </w:r>
      <w:r>
        <w:rPr>
          <w:rFonts w:hint="eastAsia" w:ascii="宋体" w:hAnsi="宋体"/>
          <w:color w:val="auto"/>
          <w:sz w:val="24"/>
          <w:highlight w:val="none"/>
        </w:rPr>
        <w:t>:</w:t>
      </w:r>
      <w:r>
        <w:rPr>
          <w:rFonts w:hint="eastAsia" w:ascii="宋体" w:hAnsi="宋体"/>
          <w:color w:val="auto"/>
          <w:sz w:val="24"/>
          <w:highlight w:val="none"/>
          <w:lang w:val="en-US" w:eastAsia="zh-CN"/>
        </w:rPr>
        <w:t>00时</w:t>
      </w:r>
      <w:r>
        <w:rPr>
          <w:rFonts w:hint="eastAsia" w:ascii="宋体" w:hAnsi="宋体"/>
          <w:color w:val="auto"/>
          <w:sz w:val="24"/>
          <w:highlight w:val="none"/>
          <w:lang w:eastAsia="zh-CN"/>
        </w:rPr>
        <w:t>。</w:t>
      </w:r>
    </w:p>
    <w:p>
      <w:pPr>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color w:val="auto"/>
          <w:sz w:val="24"/>
          <w:highlight w:val="none"/>
        </w:rPr>
        <w:t>承诺人应于承诺文件递交的</w:t>
      </w:r>
      <w:r>
        <w:rPr>
          <w:rFonts w:hint="eastAsia" w:ascii="宋体" w:hAnsi="宋体"/>
          <w:color w:val="auto"/>
          <w:sz w:val="24"/>
          <w:highlight w:val="none"/>
          <w:lang w:val="en-US" w:eastAsia="zh-CN"/>
        </w:rPr>
        <w:t>截止</w:t>
      </w:r>
      <w:r>
        <w:rPr>
          <w:rFonts w:hint="eastAsia" w:ascii="宋体" w:hAnsi="宋体"/>
          <w:color w:val="auto"/>
          <w:sz w:val="24"/>
          <w:highlight w:val="none"/>
        </w:rPr>
        <w:t>时间前将承诺文件递交至</w:t>
      </w:r>
      <w:r>
        <w:rPr>
          <w:rFonts w:hint="eastAsia" w:ascii="宋体" w:hAnsi="宋体"/>
          <w:color w:val="FF0000"/>
          <w:sz w:val="24"/>
          <w:highlight w:val="none"/>
          <w:u w:val="single"/>
        </w:rPr>
        <w:t>南平市建阳区翠屏路112号云谷小区二期崇和里112-11到18号店</w:t>
      </w:r>
      <w:r>
        <w:rPr>
          <w:rFonts w:hint="eastAsia" w:ascii="宋体" w:hAnsi="宋体"/>
          <w:color w:val="FF0000"/>
          <w:sz w:val="24"/>
          <w:highlight w:val="none"/>
          <w:u w:val="single"/>
          <w:lang w:val="en-US" w:eastAsia="zh-CN"/>
        </w:rPr>
        <w:t>晖源开标室</w:t>
      </w:r>
      <w:r>
        <w:rPr>
          <w:rFonts w:hint="eastAsia" w:ascii="宋体" w:hAnsi="宋体"/>
          <w:color w:val="auto"/>
          <w:sz w:val="24"/>
          <w:highlight w:val="none"/>
        </w:rPr>
        <w:t>。</w:t>
      </w:r>
      <w:r>
        <w:rPr>
          <w:rFonts w:hint="eastAsia" w:ascii="宋体" w:hAnsi="宋体"/>
          <w:color w:val="auto"/>
          <w:sz w:val="24"/>
          <w:highlight w:val="none"/>
          <w:lang w:val="en-US" w:eastAsia="zh-CN"/>
        </w:rPr>
        <w:t>代理机构将于</w:t>
      </w:r>
      <w:r>
        <w:rPr>
          <w:rFonts w:hint="eastAsia" w:ascii="宋体" w:hAnsi="宋体"/>
          <w:color w:val="auto"/>
          <w:sz w:val="24"/>
          <w:highlight w:val="none"/>
        </w:rPr>
        <w:t>承诺文件递交的</w:t>
      </w:r>
      <w:r>
        <w:rPr>
          <w:rFonts w:hint="eastAsia" w:ascii="宋体" w:hAnsi="宋体"/>
          <w:color w:val="auto"/>
          <w:sz w:val="24"/>
          <w:highlight w:val="none"/>
          <w:lang w:val="en-US" w:eastAsia="zh-CN"/>
        </w:rPr>
        <w:t>截止</w:t>
      </w:r>
      <w:r>
        <w:rPr>
          <w:rFonts w:hint="eastAsia" w:ascii="宋体" w:hAnsi="宋体"/>
          <w:color w:val="auto"/>
          <w:sz w:val="24"/>
          <w:highlight w:val="none"/>
        </w:rPr>
        <w:t>时间</w:t>
      </w:r>
      <w:r>
        <w:rPr>
          <w:rFonts w:hint="eastAsia" w:ascii="宋体" w:hAnsi="宋体"/>
          <w:color w:val="auto"/>
          <w:sz w:val="24"/>
          <w:highlight w:val="none"/>
          <w:lang w:val="en-US" w:eastAsia="zh-CN"/>
        </w:rPr>
        <w:t>前半个小时开始现场接收文件。</w:t>
      </w:r>
    </w:p>
    <w:p>
      <w:pPr>
        <w:pageBreakBefore w:val="0"/>
        <w:kinsoku/>
        <w:wordWrap/>
        <w:overflowPunct/>
        <w:topLinePunct w:val="0"/>
        <w:autoSpaceDE/>
        <w:autoSpaceDN/>
        <w:bidi w:val="0"/>
        <w:adjustRightInd/>
        <w:snapToGrid/>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5.3开选时间和地点同承诺文件递交截止时间和地点。</w:t>
      </w:r>
    </w:p>
    <w:p>
      <w:pPr>
        <w:pageBreakBefore w:val="0"/>
        <w:kinsoku/>
        <w:wordWrap/>
        <w:overflowPunct/>
        <w:topLinePunct w:val="0"/>
        <w:autoSpaceDE/>
        <w:autoSpaceDN/>
        <w:bidi w:val="0"/>
        <w:adjustRightInd/>
        <w:snapToGrid/>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highlight w:val="none"/>
        </w:rPr>
        <w:t>逾期送达的或者未送达指定地点的承诺文件</w:t>
      </w:r>
      <w:r>
        <w:rPr>
          <w:rFonts w:hint="eastAsia"/>
          <w:color w:val="auto"/>
          <w:sz w:val="24"/>
          <w:highlight w:val="none"/>
        </w:rPr>
        <w:t>选择人</w:t>
      </w:r>
      <w:r>
        <w:rPr>
          <w:rFonts w:hint="eastAsia" w:ascii="宋体" w:hAnsi="宋体"/>
          <w:color w:val="auto"/>
          <w:sz w:val="24"/>
          <w:highlight w:val="none"/>
        </w:rPr>
        <w:t>不予受理。</w:t>
      </w:r>
    </w:p>
    <w:p>
      <w:pPr>
        <w:pageBreakBefore w:val="0"/>
        <w:kinsoku/>
        <w:wordWrap/>
        <w:overflowPunct/>
        <w:topLinePunct w:val="0"/>
        <w:autoSpaceDE/>
        <w:autoSpaceDN/>
        <w:bidi w:val="0"/>
        <w:adjustRightInd/>
        <w:snapToGrid/>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6.评审办法：</w:t>
      </w:r>
      <w:r>
        <w:rPr>
          <w:rFonts w:hint="eastAsia" w:ascii="宋体" w:hAnsi="宋体"/>
          <w:b/>
          <w:color w:val="auto"/>
          <w:sz w:val="24"/>
          <w:highlight w:val="none"/>
          <w:u w:val="single"/>
        </w:rPr>
        <w:t xml:space="preserve"> </w:t>
      </w:r>
      <w:r>
        <w:rPr>
          <w:rFonts w:hint="eastAsia" w:ascii="宋体" w:hAnsi="宋体"/>
          <w:b/>
          <w:color w:val="auto"/>
          <w:sz w:val="24"/>
          <w:highlight w:val="none"/>
          <w:u w:val="single"/>
          <w:lang w:val="en-US" w:eastAsia="zh-CN"/>
        </w:rPr>
        <w:t xml:space="preserve">经评审的最低价法（当最低报价相同时采取随机抽取法确定中选人） </w:t>
      </w:r>
      <w:r>
        <w:rPr>
          <w:rFonts w:hint="eastAsia" w:ascii="宋体" w:hAnsi="宋体"/>
          <w:b/>
          <w:color w:val="auto"/>
          <w:sz w:val="24"/>
          <w:highlight w:val="none"/>
        </w:rPr>
        <w:t>。</w:t>
      </w:r>
    </w:p>
    <w:p>
      <w:pPr>
        <w:pageBreakBefore w:val="0"/>
        <w:kinsoku/>
        <w:wordWrap/>
        <w:overflowPunct/>
        <w:topLinePunct w:val="0"/>
        <w:autoSpaceDE/>
        <w:autoSpaceDN/>
        <w:bidi w:val="0"/>
        <w:adjustRightInd/>
        <w:snapToGrid/>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7. 承诺保证金的提交</w:t>
      </w:r>
    </w:p>
    <w:p>
      <w:pPr>
        <w:pageBreakBefore w:val="0"/>
        <w:kinsoku/>
        <w:wordWrap/>
        <w:overflowPunct/>
        <w:topLinePunct w:val="0"/>
        <w:autoSpaceDE/>
        <w:autoSpaceDN/>
        <w:bidi w:val="0"/>
        <w:adjustRightInd/>
        <w:snapToGrid/>
        <w:spacing w:line="360" w:lineRule="auto"/>
        <w:ind w:firstLine="480" w:firstLineChars="200"/>
        <w:rPr>
          <w:rFonts w:hint="eastAsia" w:eastAsia="宋体"/>
          <w:color w:val="auto"/>
          <w:highlight w:val="none"/>
          <w:lang w:val="en-US" w:eastAsia="zh-CN"/>
        </w:rPr>
      </w:pPr>
      <w:r>
        <w:rPr>
          <w:rFonts w:hint="eastAsia" w:ascii="宋体" w:hAnsi="宋体" w:cs="宋体"/>
          <w:color w:val="auto"/>
          <w:sz w:val="24"/>
          <w:highlight w:val="none"/>
        </w:rPr>
        <w:t>7.1承诺保证金提交金额人民币</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fldChar w:fldCharType="begin"/>
      </w:r>
      <w:r>
        <w:rPr>
          <w:rFonts w:hint="eastAsia" w:ascii="宋体" w:hAnsi="宋体" w:eastAsia="宋体" w:cs="宋体"/>
          <w:color w:val="auto"/>
          <w:sz w:val="24"/>
          <w:highlight w:val="none"/>
          <w:u w:val="single"/>
          <w:lang w:val="en-US" w:eastAsia="zh-CN"/>
        </w:rPr>
        <w:instrText xml:space="preserve"> = 250000 \* CHINESENUM4 \* MERGEFORMAT </w:instrText>
      </w:r>
      <w:r>
        <w:rPr>
          <w:rFonts w:hint="eastAsia" w:ascii="宋体" w:hAnsi="宋体" w:eastAsia="宋体" w:cs="宋体"/>
          <w:color w:val="auto"/>
          <w:sz w:val="24"/>
          <w:highlight w:val="none"/>
          <w:u w:val="single"/>
          <w:lang w:val="en-US" w:eastAsia="zh-CN"/>
        </w:rPr>
        <w:fldChar w:fldCharType="separate"/>
      </w:r>
      <w:r>
        <w:rPr>
          <w:rFonts w:hint="eastAsia" w:ascii="宋体" w:hAnsi="宋体" w:eastAsia="宋体" w:cs="宋体"/>
          <w:color w:val="auto"/>
          <w:sz w:val="24"/>
          <w:highlight w:val="none"/>
          <w:u w:val="single"/>
          <w:lang w:val="en-US" w:eastAsia="zh-CN"/>
        </w:rPr>
        <w:t>捌万元整</w:t>
      </w:r>
      <w:r>
        <w:rPr>
          <w:rFonts w:hint="eastAsia" w:ascii="宋体" w:hAnsi="宋体" w:eastAsia="宋体" w:cs="宋体"/>
          <w:color w:val="auto"/>
          <w:sz w:val="24"/>
          <w:highlight w:val="none"/>
          <w:u w:val="single"/>
          <w:lang w:val="en-US" w:eastAsia="zh-CN"/>
        </w:rPr>
        <w:fldChar w:fldCharType="end"/>
      </w:r>
      <w:r>
        <w:rPr>
          <w:rFonts w:hint="eastAsia" w:ascii="宋体" w:hAnsi="宋体" w:cs="宋体"/>
          <w:color w:val="auto"/>
          <w:sz w:val="24"/>
          <w:highlight w:val="none"/>
        </w:rPr>
        <w:t>（¥</w:t>
      </w:r>
      <w:r>
        <w:rPr>
          <w:rFonts w:hint="eastAsia" w:ascii="宋体" w:hAnsi="宋体" w:cs="宋体"/>
          <w:color w:val="auto"/>
          <w:sz w:val="24"/>
          <w:highlight w:val="none"/>
          <w:u w:val="single"/>
          <w:lang w:val="en-US" w:eastAsia="zh-CN"/>
        </w:rPr>
        <w:t>80000</w:t>
      </w:r>
      <w:r>
        <w:rPr>
          <w:rFonts w:hint="eastAsia" w:ascii="宋体" w:hAnsi="宋体" w:cs="宋体"/>
          <w:color w:val="auto"/>
          <w:sz w:val="24"/>
          <w:highlight w:val="none"/>
        </w:rPr>
        <w:t>元）</w:t>
      </w:r>
    </w:p>
    <w:p>
      <w:pPr>
        <w:pageBreakBefore w:val="0"/>
        <w:kinsoku/>
        <w:wordWrap/>
        <w:overflowPunct/>
        <w:topLinePunct w:val="0"/>
        <w:autoSpaceDE/>
        <w:autoSpaceDN/>
        <w:bidi w:val="0"/>
        <w:adjustRightInd/>
        <w:snapToGrid/>
        <w:spacing w:line="360" w:lineRule="auto"/>
        <w:ind w:firstLine="480" w:firstLineChars="200"/>
        <w:rPr>
          <w:rFonts w:hint="eastAsia" w:ascii="宋体" w:hAnsi="宋体" w:cs="黑体"/>
          <w:color w:val="auto"/>
          <w:kern w:val="0"/>
          <w:sz w:val="24"/>
          <w:highlight w:val="none"/>
        </w:rPr>
      </w:pPr>
      <w:r>
        <w:rPr>
          <w:rFonts w:hint="eastAsia" w:ascii="宋体" w:hAnsi="宋体" w:eastAsia="宋体" w:cs="宋体"/>
          <w:color w:val="auto"/>
          <w:sz w:val="24"/>
          <w:szCs w:val="24"/>
          <w:highlight w:val="none"/>
        </w:rPr>
        <w:t>①现金形式:</w:t>
      </w:r>
      <w:r>
        <w:rPr>
          <w:rFonts w:hint="eastAsia" w:ascii="宋体" w:hAnsi="宋体" w:cs="黑体"/>
          <w:color w:val="auto"/>
          <w:kern w:val="0"/>
          <w:sz w:val="24"/>
          <w:highlight w:val="none"/>
        </w:rPr>
        <w:t>承诺保证金必须从企业账户一次性汇出（以到账时间为准，汇出账户名称与企业名称应一致），否则</w:t>
      </w:r>
      <w:r>
        <w:rPr>
          <w:rFonts w:hint="eastAsia" w:ascii="宋体" w:hAnsi="宋体" w:cs="黑体"/>
          <w:color w:val="auto"/>
          <w:kern w:val="0"/>
          <w:sz w:val="24"/>
          <w:highlight w:val="none"/>
          <w:lang w:val="en-US" w:eastAsia="zh-CN"/>
        </w:rPr>
        <w:t>无效</w:t>
      </w:r>
      <w:r>
        <w:rPr>
          <w:rFonts w:hint="eastAsia" w:ascii="宋体" w:hAnsi="宋体" w:cs="黑体"/>
          <w:color w:val="auto"/>
          <w:kern w:val="0"/>
          <w:sz w:val="24"/>
          <w:highlight w:val="none"/>
        </w:rPr>
        <w:t>承诺文件</w:t>
      </w:r>
      <w:r>
        <w:rPr>
          <w:rFonts w:hint="eastAsia" w:ascii="宋体" w:hAnsi="宋体" w:cs="黑体"/>
          <w:color w:val="auto"/>
          <w:kern w:val="0"/>
          <w:sz w:val="24"/>
          <w:highlight w:val="none"/>
          <w:lang w:val="en-US" w:eastAsia="zh-CN"/>
        </w:rPr>
        <w:t>处理</w:t>
      </w:r>
      <w:r>
        <w:rPr>
          <w:rFonts w:hint="eastAsia" w:ascii="宋体" w:hAnsi="宋体" w:cs="黑体"/>
          <w:color w:val="auto"/>
          <w:kern w:val="0"/>
          <w:sz w:val="24"/>
          <w:highlight w:val="none"/>
        </w:rPr>
        <w:t>。</w:t>
      </w:r>
    </w:p>
    <w:p>
      <w:pPr>
        <w:pStyle w:val="5"/>
        <w:pageBreakBefore w:val="0"/>
        <w:kinsoku/>
        <w:wordWrap/>
        <w:overflowPunct/>
        <w:topLinePunct w:val="0"/>
        <w:autoSpaceDE/>
        <w:autoSpaceDN/>
        <w:bidi w:val="0"/>
        <w:adjustRightInd/>
        <w:snapToGrid/>
        <w:spacing w:line="360" w:lineRule="auto"/>
        <w:rPr>
          <w:rFonts w:hint="eastAsia" w:eastAsia="宋体"/>
          <w:color w:val="auto"/>
          <w:highlight w:val="none"/>
          <w:lang w:eastAsia="zh-CN"/>
        </w:rPr>
      </w:pPr>
      <w:r>
        <w:rPr>
          <w:rFonts w:hint="eastAsia" w:ascii="宋体" w:hAnsi="宋体" w:cs="宋体"/>
          <w:color w:val="auto"/>
          <w:sz w:val="24"/>
          <w:szCs w:val="24"/>
          <w:highlight w:val="none"/>
        </w:rPr>
        <w:t>②投标人以银行保函形式提交投标保证金的，</w:t>
      </w:r>
      <w:r>
        <w:rPr>
          <w:rFonts w:hint="eastAsia" w:ascii="宋体" w:hAnsi="宋体" w:cs="宋体"/>
          <w:color w:val="auto"/>
          <w:sz w:val="24"/>
          <w:highlight w:val="none"/>
        </w:rPr>
        <w:t>投标人应将银行保函原件随同投标文件一并</w:t>
      </w:r>
      <w:r>
        <w:rPr>
          <w:rFonts w:hint="eastAsia" w:ascii="宋体" w:hAnsi="宋体" w:cs="宋体"/>
          <w:color w:val="auto"/>
          <w:sz w:val="24"/>
          <w:szCs w:val="24"/>
          <w:highlight w:val="none"/>
        </w:rPr>
        <w:t>递交</w:t>
      </w:r>
      <w:r>
        <w:rPr>
          <w:rFonts w:hint="eastAsia" w:ascii="宋体" w:hAnsi="宋体" w:cs="宋体"/>
          <w:color w:val="auto"/>
          <w:sz w:val="24"/>
          <w:szCs w:val="24"/>
          <w:highlight w:val="none"/>
          <w:lang w:eastAsia="zh-CN"/>
        </w:rPr>
        <w:t>。</w:t>
      </w:r>
    </w:p>
    <w:p>
      <w:pPr>
        <w:pageBreakBefore w:val="0"/>
        <w:kinsoku/>
        <w:wordWrap/>
        <w:overflowPunct/>
        <w:topLinePunct w:val="0"/>
        <w:autoSpaceDE/>
        <w:autoSpaceDN/>
        <w:bidi w:val="0"/>
        <w:adjustRightInd/>
        <w:snapToGrid/>
        <w:spacing w:line="360" w:lineRule="auto"/>
        <w:ind w:left="480"/>
        <w:rPr>
          <w:rFonts w:ascii="宋体" w:hAnsi="宋体" w:cs="宋体"/>
          <w:color w:val="auto"/>
          <w:sz w:val="24"/>
          <w:highlight w:val="none"/>
          <w:u w:val="single"/>
        </w:rPr>
      </w:pPr>
      <w:r>
        <w:rPr>
          <w:rFonts w:hint="eastAsia" w:ascii="宋体" w:hAnsi="宋体" w:cs="宋体"/>
          <w:color w:val="auto"/>
          <w:sz w:val="24"/>
          <w:highlight w:val="none"/>
        </w:rPr>
        <w:t>7.2承诺保证金提交时间：</w:t>
      </w:r>
      <w:r>
        <w:rPr>
          <w:rFonts w:hint="eastAsia" w:ascii="宋体" w:hAnsi="宋体" w:cs="宋体"/>
          <w:b/>
          <w:color w:val="auto"/>
          <w:sz w:val="24"/>
          <w:highlight w:val="none"/>
          <w:u w:val="single"/>
        </w:rPr>
        <w:t xml:space="preserve">  202</w:t>
      </w:r>
      <w:r>
        <w:rPr>
          <w:rFonts w:hint="eastAsia" w:ascii="宋体" w:hAnsi="宋体" w:cs="宋体"/>
          <w:b/>
          <w:color w:val="auto"/>
          <w:sz w:val="24"/>
          <w:highlight w:val="none"/>
          <w:u w:val="single"/>
          <w:lang w:val="en-US" w:eastAsia="zh-CN"/>
        </w:rPr>
        <w:t>4</w:t>
      </w:r>
      <w:r>
        <w:rPr>
          <w:rFonts w:hint="eastAsia" w:ascii="宋体" w:hAnsi="宋体" w:cs="宋体"/>
          <w:b/>
          <w:color w:val="auto"/>
          <w:sz w:val="24"/>
          <w:highlight w:val="none"/>
          <w:u w:val="single"/>
        </w:rPr>
        <w:t>年</w:t>
      </w:r>
      <w:r>
        <w:rPr>
          <w:rFonts w:hint="eastAsia" w:ascii="宋体" w:hAnsi="宋体" w:cs="宋体"/>
          <w:b/>
          <w:color w:val="auto"/>
          <w:sz w:val="24"/>
          <w:highlight w:val="none"/>
          <w:u w:val="single"/>
          <w:lang w:val="en-US" w:eastAsia="zh-CN"/>
        </w:rPr>
        <w:t>5</w:t>
      </w:r>
      <w:r>
        <w:rPr>
          <w:rFonts w:hint="eastAsia" w:ascii="宋体" w:hAnsi="宋体" w:cs="宋体"/>
          <w:b/>
          <w:color w:val="auto"/>
          <w:sz w:val="24"/>
          <w:highlight w:val="none"/>
          <w:u w:val="single"/>
        </w:rPr>
        <w:t>月</w:t>
      </w:r>
      <w:r>
        <w:rPr>
          <w:rFonts w:hint="eastAsia" w:ascii="宋体" w:hAnsi="宋体" w:cs="宋体"/>
          <w:b/>
          <w:color w:val="auto"/>
          <w:sz w:val="24"/>
          <w:highlight w:val="none"/>
          <w:u w:val="single"/>
          <w:lang w:val="en-US" w:eastAsia="zh-CN"/>
        </w:rPr>
        <w:t>6</w:t>
      </w:r>
      <w:r>
        <w:rPr>
          <w:rFonts w:hint="eastAsia" w:ascii="宋体" w:hAnsi="宋体" w:cs="宋体"/>
          <w:b/>
          <w:color w:val="auto"/>
          <w:sz w:val="24"/>
          <w:highlight w:val="none"/>
          <w:u w:val="single"/>
        </w:rPr>
        <w:t>日17:00时前。</w:t>
      </w:r>
    </w:p>
    <w:p>
      <w:pPr>
        <w:pageBreakBefore w:val="0"/>
        <w:kinsoku/>
        <w:wordWrap/>
        <w:overflowPunct/>
        <w:topLinePunct w:val="0"/>
        <w:autoSpaceDE/>
        <w:autoSpaceDN/>
        <w:bidi w:val="0"/>
        <w:adjustRightInd/>
        <w:snapToGrid/>
        <w:spacing w:line="360" w:lineRule="auto"/>
        <w:ind w:left="480"/>
        <w:rPr>
          <w:rFonts w:ascii="宋体" w:hAnsi="宋体" w:cs="宋体"/>
          <w:color w:val="auto"/>
          <w:sz w:val="24"/>
          <w:highlight w:val="none"/>
        </w:rPr>
      </w:pPr>
      <w:r>
        <w:rPr>
          <w:rFonts w:hint="eastAsia" w:ascii="宋体" w:hAnsi="宋体" w:cs="宋体"/>
          <w:color w:val="auto"/>
          <w:sz w:val="24"/>
          <w:highlight w:val="none"/>
        </w:rPr>
        <w:t>7.3承诺保证金银行</w:t>
      </w:r>
      <w:r>
        <w:rPr>
          <w:rFonts w:hint="eastAsia" w:ascii="宋体" w:hAnsi="宋体" w:cs="宋体"/>
          <w:color w:val="auto"/>
          <w:sz w:val="24"/>
          <w:highlight w:val="none"/>
          <w:lang w:val="en-US" w:eastAsia="zh-CN"/>
        </w:rPr>
        <w:t>账</w:t>
      </w:r>
      <w:r>
        <w:rPr>
          <w:rFonts w:hint="eastAsia" w:ascii="宋体" w:hAnsi="宋体" w:cs="宋体"/>
          <w:color w:val="auto"/>
          <w:sz w:val="24"/>
          <w:highlight w:val="none"/>
        </w:rPr>
        <w:t>号：</w:t>
      </w:r>
    </w:p>
    <w:p>
      <w:pPr>
        <w:pageBreakBefore w:val="0"/>
        <w:kinsoku/>
        <w:wordWrap/>
        <w:overflowPunct/>
        <w:topLinePunct w:val="0"/>
        <w:autoSpaceDE/>
        <w:autoSpaceDN/>
        <w:bidi w:val="0"/>
        <w:adjustRightInd/>
        <w:snapToGrid/>
        <w:spacing w:line="360" w:lineRule="auto"/>
        <w:ind w:left="1275" w:leftChars="607"/>
        <w:rPr>
          <w:color w:val="auto"/>
          <w:sz w:val="24"/>
          <w:highlight w:val="none"/>
          <w:u w:val="single"/>
        </w:rPr>
      </w:pPr>
      <w:r>
        <w:rPr>
          <w:rFonts w:hint="eastAsia"/>
          <w:color w:val="auto"/>
          <w:sz w:val="24"/>
          <w:highlight w:val="none"/>
        </w:rPr>
        <w:t>开户银行：</w:t>
      </w:r>
      <w:r>
        <w:rPr>
          <w:rFonts w:hint="eastAsia"/>
          <w:color w:val="auto"/>
          <w:sz w:val="24"/>
          <w:highlight w:val="none"/>
          <w:u w:val="single"/>
        </w:rPr>
        <w:t xml:space="preserve"> </w:t>
      </w:r>
      <w:r>
        <w:rPr>
          <w:rFonts w:hint="eastAsia"/>
          <w:color w:val="auto"/>
          <w:sz w:val="24"/>
          <w:highlight w:val="none"/>
          <w:u w:val="single"/>
          <w:lang w:val="en-US" w:eastAsia="zh-CN"/>
        </w:rPr>
        <w:t xml:space="preserve">  中国农业银行南平建阳支行 </w:t>
      </w:r>
      <w:r>
        <w:rPr>
          <w:rFonts w:hint="eastAsia"/>
          <w:color w:val="auto"/>
          <w:sz w:val="24"/>
          <w:highlight w:val="none"/>
          <w:u w:val="single"/>
        </w:rPr>
        <w:t xml:space="preserve">    </w:t>
      </w:r>
    </w:p>
    <w:p>
      <w:pPr>
        <w:pageBreakBefore w:val="0"/>
        <w:kinsoku/>
        <w:wordWrap/>
        <w:overflowPunct/>
        <w:topLinePunct w:val="0"/>
        <w:autoSpaceDE/>
        <w:autoSpaceDN/>
        <w:bidi w:val="0"/>
        <w:adjustRightInd/>
        <w:snapToGrid/>
        <w:spacing w:line="360" w:lineRule="auto"/>
        <w:ind w:left="1275" w:leftChars="607"/>
        <w:rPr>
          <w:color w:val="auto"/>
          <w:sz w:val="24"/>
          <w:highlight w:val="none"/>
        </w:rPr>
      </w:pPr>
      <w:r>
        <w:rPr>
          <w:rFonts w:hint="eastAsia"/>
          <w:color w:val="auto"/>
          <w:sz w:val="24"/>
          <w:highlight w:val="none"/>
        </w:rPr>
        <w:t>开户名称：</w:t>
      </w:r>
      <w:r>
        <w:rPr>
          <w:rFonts w:hint="eastAsia"/>
          <w:color w:val="auto"/>
          <w:sz w:val="24"/>
          <w:highlight w:val="none"/>
          <w:u w:val="single"/>
          <w:lang w:val="en-US" w:eastAsia="zh-CN"/>
        </w:rPr>
        <w:t xml:space="preserve">  南平建设集团信达供应链有限公司  </w:t>
      </w:r>
      <w:r>
        <w:rPr>
          <w:rFonts w:hint="eastAsia"/>
          <w:color w:val="auto"/>
          <w:sz w:val="24"/>
          <w:highlight w:val="none"/>
          <w:u w:val="single"/>
        </w:rPr>
        <w:t xml:space="preserve"> </w:t>
      </w:r>
      <w:r>
        <w:rPr>
          <w:rFonts w:hint="eastAsia"/>
          <w:color w:val="auto"/>
          <w:sz w:val="24"/>
          <w:highlight w:val="none"/>
        </w:rPr>
        <w:t xml:space="preserve"> </w:t>
      </w:r>
    </w:p>
    <w:p>
      <w:pPr>
        <w:pageBreakBefore w:val="0"/>
        <w:kinsoku/>
        <w:wordWrap/>
        <w:overflowPunct/>
        <w:topLinePunct w:val="0"/>
        <w:autoSpaceDE/>
        <w:autoSpaceDN/>
        <w:bidi w:val="0"/>
        <w:adjustRightInd/>
        <w:snapToGrid/>
        <w:spacing w:line="360" w:lineRule="auto"/>
        <w:ind w:left="1275" w:leftChars="607"/>
        <w:rPr>
          <w:color w:val="auto"/>
          <w:sz w:val="24"/>
          <w:highlight w:val="none"/>
        </w:rPr>
      </w:pPr>
      <w:r>
        <w:rPr>
          <w:rFonts w:hint="eastAsia"/>
          <w:color w:val="auto"/>
          <w:sz w:val="24"/>
          <w:highlight w:val="none"/>
          <w:lang w:val="en-US" w:eastAsia="zh-CN"/>
        </w:rPr>
        <w:t>账</w:t>
      </w:r>
      <w:r>
        <w:rPr>
          <w:rFonts w:hint="eastAsia"/>
          <w:color w:val="auto"/>
          <w:sz w:val="24"/>
          <w:highlight w:val="none"/>
        </w:rPr>
        <w:t xml:space="preserve">    号：</w:t>
      </w:r>
      <w:r>
        <w:rPr>
          <w:rFonts w:hint="eastAsia"/>
          <w:color w:val="auto"/>
          <w:sz w:val="24"/>
          <w:highlight w:val="none"/>
          <w:u w:val="single"/>
          <w:lang w:val="en-US" w:eastAsia="zh-CN"/>
        </w:rPr>
        <w:t xml:space="preserve">     13930101040036874</w:t>
      </w:r>
      <w:r>
        <w:rPr>
          <w:rFonts w:hint="eastAsia"/>
          <w:color w:val="auto"/>
          <w:sz w:val="24"/>
          <w:highlight w:val="none"/>
          <w:u w:val="single"/>
        </w:rPr>
        <w:t xml:space="preserve">   </w:t>
      </w:r>
    </w:p>
    <w:p>
      <w:pPr>
        <w:pageBreakBefore w:val="0"/>
        <w:tabs>
          <w:tab w:val="left" w:pos="1134"/>
        </w:tabs>
        <w:kinsoku/>
        <w:wordWrap/>
        <w:overflowPunct/>
        <w:topLinePunct w:val="0"/>
        <w:autoSpaceDE/>
        <w:autoSpaceDN/>
        <w:bidi w:val="0"/>
        <w:adjustRightInd/>
        <w:snapToGrid/>
        <w:spacing w:line="360" w:lineRule="auto"/>
        <w:ind w:left="426" w:firstLine="720" w:firstLineChars="300"/>
        <w:rPr>
          <w:rFonts w:hint="eastAsia" w:ascii="宋体" w:hAnsi="宋体" w:cs="宋体"/>
          <w:color w:val="auto"/>
          <w:sz w:val="24"/>
          <w:highlight w:val="none"/>
          <w:u w:val="single"/>
        </w:rPr>
      </w:pPr>
      <w:r>
        <w:rPr>
          <w:rFonts w:hint="eastAsia" w:ascii="宋体" w:hAnsi="宋体" w:cs="宋体"/>
          <w:color w:val="auto"/>
          <w:sz w:val="24"/>
          <w:highlight w:val="none"/>
        </w:rPr>
        <w:t>用 途：</w:t>
      </w:r>
      <w:r>
        <w:rPr>
          <w:rFonts w:hint="eastAsia" w:ascii="宋体" w:hAnsi="宋体" w:cs="宋体"/>
          <w:color w:val="auto"/>
          <w:sz w:val="24"/>
          <w:highlight w:val="none"/>
          <w:u w:val="single"/>
        </w:rPr>
        <w:t>（请注明）“</w:t>
      </w:r>
      <w:r>
        <w:rPr>
          <w:rFonts w:hint="eastAsia" w:ascii="宋体" w:hAnsi="宋体" w:cs="宋体"/>
          <w:b/>
          <w:bCs/>
          <w:color w:val="auto"/>
          <w:sz w:val="24"/>
          <w:highlight w:val="none"/>
          <w:u w:val="single"/>
          <w:lang w:val="en-US" w:eastAsia="zh-CN"/>
        </w:rPr>
        <w:t>管道材料供应商选择</w:t>
      </w:r>
      <w:r>
        <w:rPr>
          <w:rFonts w:hint="eastAsia" w:ascii="宋体" w:hAnsi="宋体" w:cs="宋体"/>
          <w:b/>
          <w:bCs/>
          <w:color w:val="auto"/>
          <w:sz w:val="24"/>
          <w:highlight w:val="none"/>
          <w:u w:val="single"/>
        </w:rPr>
        <w:t>承诺保证金</w:t>
      </w:r>
      <w:r>
        <w:rPr>
          <w:rFonts w:hint="eastAsia" w:ascii="宋体" w:hAnsi="宋体" w:cs="宋体"/>
          <w:b/>
          <w:color w:val="auto"/>
          <w:sz w:val="24"/>
          <w:highlight w:val="none"/>
          <w:u w:val="single"/>
        </w:rPr>
        <w:t>”</w:t>
      </w:r>
      <w:r>
        <w:rPr>
          <w:rFonts w:hint="eastAsia" w:ascii="宋体" w:hAnsi="宋体" w:cs="宋体"/>
          <w:color w:val="auto"/>
          <w:sz w:val="24"/>
          <w:highlight w:val="none"/>
          <w:u w:val="single"/>
        </w:rPr>
        <w:t xml:space="preserve"> 。</w:t>
      </w:r>
    </w:p>
    <w:p>
      <w:pPr>
        <w:pageBreakBefore w:val="0"/>
        <w:tabs>
          <w:tab w:val="left" w:pos="1134"/>
        </w:tabs>
        <w:kinsoku/>
        <w:wordWrap/>
        <w:overflowPunct/>
        <w:topLinePunct w:val="0"/>
        <w:autoSpaceDE/>
        <w:autoSpaceDN/>
        <w:bidi w:val="0"/>
        <w:adjustRightInd/>
        <w:snapToGri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以现金形式提交的</w:t>
      </w:r>
      <w:r>
        <w:rPr>
          <w:rFonts w:hint="eastAsia" w:ascii="宋体" w:hAnsi="宋体" w:cs="宋体"/>
          <w:color w:val="auto"/>
          <w:sz w:val="24"/>
          <w:highlight w:val="none"/>
        </w:rPr>
        <w:t>如因承诺人汇款凭证未注明项目名称造成选择人无法识别承诺保证金到账情况或识别错误的，其责任由承诺人自行承担。</w:t>
      </w:r>
    </w:p>
    <w:p>
      <w:pPr>
        <w:pageBreakBefore w:val="0"/>
        <w:tabs>
          <w:tab w:val="left" w:pos="1134"/>
        </w:tabs>
        <w:kinsoku/>
        <w:wordWrap/>
        <w:overflowPunct/>
        <w:topLinePunct w:val="0"/>
        <w:autoSpaceDE/>
        <w:autoSpaceDN/>
        <w:bidi w:val="0"/>
        <w:adjustRightInd/>
        <w:snapToGrid/>
        <w:spacing w:line="360" w:lineRule="auto"/>
        <w:ind w:left="426"/>
        <w:rPr>
          <w:rFonts w:ascii="宋体" w:hAnsi="宋体" w:cs="宋体"/>
          <w:color w:val="auto"/>
          <w:sz w:val="24"/>
          <w:highlight w:val="none"/>
          <w:u w:val="single"/>
        </w:rPr>
      </w:pPr>
      <w:r>
        <w:rPr>
          <w:rFonts w:hint="eastAsia" w:ascii="宋体" w:hAnsi="宋体" w:cs="宋体"/>
          <w:color w:val="auto"/>
          <w:sz w:val="24"/>
          <w:highlight w:val="none"/>
        </w:rPr>
        <w:t>7.4承诺保证金有效期同承诺有效期</w:t>
      </w:r>
      <w:r>
        <w:rPr>
          <w:rFonts w:hint="eastAsia" w:ascii="宋体" w:hAnsi="宋体" w:cs="宋体"/>
          <w:color w:val="auto"/>
          <w:sz w:val="24"/>
          <w:highlight w:val="none"/>
          <w:lang w:eastAsia="zh-CN"/>
        </w:rPr>
        <w:t>，</w:t>
      </w:r>
      <w:r>
        <w:rPr>
          <w:rFonts w:hint="eastAsia" w:ascii="宋体" w:hAnsi="宋体" w:cs="宋体"/>
          <w:color w:val="auto"/>
          <w:sz w:val="24"/>
          <w:highlight w:val="none"/>
        </w:rPr>
        <w:t>未按规定提</w:t>
      </w:r>
      <w:r>
        <w:rPr>
          <w:rFonts w:hint="eastAsia" w:ascii="宋体" w:hAnsi="宋体" w:cs="宋体"/>
          <w:b w:val="0"/>
          <w:bCs w:val="0"/>
          <w:color w:val="auto"/>
          <w:sz w:val="24"/>
          <w:highlight w:val="none"/>
        </w:rPr>
        <w:t>交</w:t>
      </w:r>
      <w:r>
        <w:rPr>
          <w:rFonts w:hint="eastAsia" w:ascii="宋体" w:hAnsi="宋体"/>
          <w:b/>
          <w:bCs/>
          <w:color w:val="auto"/>
          <w:sz w:val="24"/>
          <w:highlight w:val="none"/>
        </w:rPr>
        <w:t>承诺保证金的</w:t>
      </w:r>
      <w:r>
        <w:rPr>
          <w:rFonts w:hint="eastAsia" w:ascii="宋体" w:hAnsi="宋体"/>
          <w:color w:val="auto"/>
          <w:sz w:val="24"/>
          <w:highlight w:val="none"/>
        </w:rPr>
        <w:t>承诺文件</w:t>
      </w:r>
      <w:r>
        <w:rPr>
          <w:rFonts w:hint="eastAsia"/>
          <w:color w:val="auto"/>
          <w:sz w:val="24"/>
          <w:highlight w:val="none"/>
          <w:lang w:val="en-US" w:eastAsia="zh-CN"/>
        </w:rPr>
        <w:t>按无效承诺文件处理</w:t>
      </w:r>
      <w:r>
        <w:rPr>
          <w:rFonts w:hint="eastAsia"/>
          <w:color w:val="auto"/>
          <w:sz w:val="24"/>
          <w:highlight w:val="none"/>
        </w:rPr>
        <w:t>。</w:t>
      </w:r>
    </w:p>
    <w:p>
      <w:pPr>
        <w:pageBreakBefore w:val="0"/>
        <w:kinsoku/>
        <w:wordWrap/>
        <w:overflowPunct/>
        <w:topLinePunct w:val="0"/>
        <w:autoSpaceDE/>
        <w:autoSpaceDN/>
        <w:bidi w:val="0"/>
        <w:adjustRightInd/>
        <w:snapToGrid/>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8.发布公告的媒介</w:t>
      </w:r>
    </w:p>
    <w:p>
      <w:pPr>
        <w:pageBreakBefore w:val="0"/>
        <w:tabs>
          <w:tab w:val="left" w:pos="360"/>
        </w:tabs>
        <w:kinsoku/>
        <w:wordWrap/>
        <w:overflowPunct/>
        <w:topLinePunct w:val="0"/>
        <w:autoSpaceDE/>
        <w:autoSpaceDN/>
        <w:bidi w:val="0"/>
        <w:adjustRightInd/>
        <w:snapToGrid/>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本次选择公告将在武夷发展集团网站（</w:t>
      </w:r>
      <w:r>
        <w:rPr>
          <w:rFonts w:ascii="宋体" w:hAnsi="宋体"/>
          <w:color w:val="auto"/>
          <w:sz w:val="24"/>
          <w:highlight w:val="none"/>
        </w:rPr>
        <w:t>www.wuyijt.com</w:t>
      </w:r>
      <w:r>
        <w:rPr>
          <w:rFonts w:hint="eastAsia" w:ascii="宋体" w:hAnsi="宋体"/>
          <w:color w:val="auto"/>
          <w:sz w:val="24"/>
          <w:highlight w:val="none"/>
        </w:rPr>
        <w:t>）公告中心发布。</w:t>
      </w:r>
    </w:p>
    <w:p>
      <w:pPr>
        <w:pageBreakBefore w:val="0"/>
        <w:kinsoku/>
        <w:wordWrap/>
        <w:overflowPunct/>
        <w:topLinePunct w:val="0"/>
        <w:autoSpaceDE/>
        <w:autoSpaceDN/>
        <w:bidi w:val="0"/>
        <w:adjustRightInd/>
        <w:snapToGrid/>
        <w:spacing w:line="360" w:lineRule="auto"/>
        <w:ind w:firstLine="482" w:firstLineChars="200"/>
        <w:rPr>
          <w:color w:val="auto"/>
          <w:sz w:val="24"/>
          <w:highlight w:val="none"/>
        </w:rPr>
      </w:pPr>
      <w:r>
        <w:rPr>
          <w:rFonts w:hint="eastAsia" w:ascii="宋体" w:hAnsi="宋体"/>
          <w:b/>
          <w:color w:val="auto"/>
          <w:sz w:val="24"/>
          <w:highlight w:val="none"/>
        </w:rPr>
        <w:t>9.</w:t>
      </w:r>
      <w:r>
        <w:rPr>
          <w:color w:val="auto"/>
          <w:sz w:val="24"/>
          <w:highlight w:val="none"/>
        </w:rPr>
        <w:t>自购买</w:t>
      </w:r>
      <w:r>
        <w:rPr>
          <w:rFonts w:hint="eastAsia"/>
          <w:color w:val="auto"/>
          <w:sz w:val="24"/>
          <w:highlight w:val="none"/>
        </w:rPr>
        <w:t>选择</w:t>
      </w:r>
      <w:r>
        <w:rPr>
          <w:color w:val="auto"/>
          <w:sz w:val="24"/>
          <w:highlight w:val="none"/>
        </w:rPr>
        <w:t>文件之日起，</w:t>
      </w:r>
      <w:r>
        <w:rPr>
          <w:rFonts w:hint="eastAsia" w:ascii="宋体" w:hAnsi="宋体"/>
          <w:b/>
          <w:bCs/>
          <w:color w:val="auto"/>
          <w:sz w:val="24"/>
          <w:highlight w:val="none"/>
        </w:rPr>
        <w:t>承诺人需派专人实时关注武夷发展集团网站（</w:t>
      </w:r>
      <w:r>
        <w:rPr>
          <w:rFonts w:ascii="宋体" w:hAnsi="宋体"/>
          <w:b/>
          <w:color w:val="auto"/>
          <w:sz w:val="24"/>
          <w:highlight w:val="none"/>
        </w:rPr>
        <w:t>www.wuyijt.com</w:t>
      </w:r>
      <w:r>
        <w:rPr>
          <w:rFonts w:hint="eastAsia" w:ascii="宋体" w:hAnsi="宋体"/>
          <w:b/>
          <w:color w:val="auto"/>
          <w:sz w:val="24"/>
          <w:highlight w:val="none"/>
        </w:rPr>
        <w:t>）</w:t>
      </w:r>
      <w:r>
        <w:rPr>
          <w:rFonts w:hint="eastAsia"/>
          <w:b/>
          <w:color w:val="auto"/>
          <w:sz w:val="24"/>
          <w:highlight w:val="none"/>
        </w:rPr>
        <w:t>，</w:t>
      </w:r>
      <w:r>
        <w:rPr>
          <w:rFonts w:hint="eastAsia" w:ascii="宋体" w:hAnsi="宋体"/>
          <w:b/>
          <w:bCs/>
          <w:color w:val="auto"/>
          <w:sz w:val="24"/>
          <w:highlight w:val="none"/>
        </w:rPr>
        <w:t>并及时了解修改（补遗）内容，选择人不另行通知</w:t>
      </w:r>
      <w:r>
        <w:rPr>
          <w:rFonts w:hint="eastAsia" w:ascii="宋体" w:hAnsi="宋体"/>
          <w:color w:val="auto"/>
          <w:sz w:val="24"/>
          <w:highlight w:val="none"/>
        </w:rPr>
        <w:t>。若由于承诺人自身原因，未能详知修改（补遗）内容，所产生的后果由承诺人自行负责。</w:t>
      </w:r>
    </w:p>
    <w:p>
      <w:pPr>
        <w:spacing w:line="360" w:lineRule="auto"/>
        <w:ind w:firstLine="482" w:firstLineChars="200"/>
        <w:rPr>
          <w:rFonts w:hint="eastAsia" w:ascii="宋体" w:hAnsi="宋体"/>
          <w:b/>
          <w:color w:val="auto"/>
          <w:sz w:val="24"/>
          <w:highlight w:val="none"/>
        </w:rPr>
      </w:pPr>
      <w:bookmarkStart w:id="20" w:name="_Toc234382576"/>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10.选择人联系方式</w:t>
      </w:r>
      <w:bookmarkEnd w:id="20"/>
    </w:p>
    <w:p>
      <w:pPr>
        <w:spacing w:line="360" w:lineRule="auto"/>
        <w:ind w:firstLine="480" w:firstLineChars="200"/>
        <w:rPr>
          <w:rFonts w:hint="eastAsia"/>
          <w:color w:val="auto"/>
          <w:sz w:val="24"/>
          <w:highlight w:val="none"/>
        </w:rPr>
      </w:pPr>
      <w:r>
        <w:rPr>
          <w:rFonts w:hint="eastAsia"/>
          <w:color w:val="auto"/>
          <w:sz w:val="24"/>
          <w:highlight w:val="none"/>
        </w:rPr>
        <w:t>选 择</w:t>
      </w:r>
      <w:r>
        <w:rPr>
          <w:color w:val="auto"/>
          <w:sz w:val="24"/>
          <w:highlight w:val="none"/>
        </w:rPr>
        <w:t xml:space="preserve"> </w:t>
      </w:r>
      <w:r>
        <w:rPr>
          <w:rFonts w:hint="eastAsia"/>
          <w:color w:val="auto"/>
          <w:sz w:val="24"/>
          <w:highlight w:val="none"/>
        </w:rPr>
        <w:t>人：南平建设集团信达供应链有限公司</w:t>
      </w:r>
    </w:p>
    <w:p>
      <w:pPr>
        <w:spacing w:line="360" w:lineRule="auto"/>
        <w:ind w:firstLine="480" w:firstLineChars="200"/>
        <w:rPr>
          <w:rFonts w:hint="eastAsia" w:eastAsia="宋体"/>
          <w:color w:val="auto"/>
          <w:sz w:val="24"/>
          <w:highlight w:val="none"/>
          <w:lang w:val="en-US" w:eastAsia="zh-CN"/>
        </w:rPr>
      </w:pPr>
      <w:r>
        <w:rPr>
          <w:rFonts w:hint="eastAsia"/>
          <w:color w:val="auto"/>
          <w:sz w:val="24"/>
          <w:highlight w:val="none"/>
        </w:rPr>
        <w:t>地</w:t>
      </w:r>
      <w:r>
        <w:rPr>
          <w:color w:val="auto"/>
          <w:sz w:val="24"/>
          <w:highlight w:val="none"/>
        </w:rPr>
        <w:t xml:space="preserve">    </w:t>
      </w:r>
      <w:r>
        <w:rPr>
          <w:rFonts w:hint="eastAsia"/>
          <w:color w:val="auto"/>
          <w:sz w:val="24"/>
          <w:highlight w:val="none"/>
        </w:rPr>
        <w:t>址：</w:t>
      </w:r>
      <w:r>
        <w:rPr>
          <w:rFonts w:hint="eastAsia"/>
          <w:color w:val="auto"/>
          <w:sz w:val="24"/>
          <w:highlight w:val="none"/>
          <w:lang w:val="en-US" w:eastAsia="zh-CN"/>
        </w:rPr>
        <w:t>南平市建阳区府后街136号（云谷小区福康苑16幢206室）</w:t>
      </w:r>
    </w:p>
    <w:p>
      <w:pPr>
        <w:spacing w:line="360" w:lineRule="auto"/>
        <w:ind w:firstLine="480" w:firstLineChars="200"/>
        <w:rPr>
          <w:rFonts w:hint="eastAsia" w:eastAsia="宋体"/>
          <w:color w:val="auto"/>
          <w:sz w:val="24"/>
          <w:highlight w:val="none"/>
          <w:lang w:val="en-US" w:eastAsia="zh-CN"/>
        </w:rPr>
      </w:pPr>
      <w:r>
        <w:rPr>
          <w:rFonts w:hint="eastAsia"/>
          <w:color w:val="auto"/>
          <w:sz w:val="24"/>
          <w:highlight w:val="none"/>
        </w:rPr>
        <w:t>联</w:t>
      </w:r>
      <w:r>
        <w:rPr>
          <w:color w:val="auto"/>
          <w:sz w:val="24"/>
          <w:highlight w:val="none"/>
        </w:rPr>
        <w:t xml:space="preserve"> </w:t>
      </w:r>
      <w:r>
        <w:rPr>
          <w:rFonts w:hint="eastAsia"/>
          <w:color w:val="auto"/>
          <w:sz w:val="24"/>
          <w:highlight w:val="none"/>
        </w:rPr>
        <w:t>系</w:t>
      </w:r>
      <w:r>
        <w:rPr>
          <w:color w:val="auto"/>
          <w:sz w:val="24"/>
          <w:highlight w:val="none"/>
        </w:rPr>
        <w:t xml:space="preserve"> </w:t>
      </w:r>
      <w:r>
        <w:rPr>
          <w:rFonts w:hint="eastAsia"/>
          <w:color w:val="auto"/>
          <w:sz w:val="24"/>
          <w:highlight w:val="none"/>
        </w:rPr>
        <w:t>人：</w:t>
      </w:r>
      <w:r>
        <w:rPr>
          <w:rFonts w:hint="eastAsia"/>
          <w:color w:val="auto"/>
          <w:sz w:val="24"/>
          <w:highlight w:val="none"/>
          <w:lang w:val="en-US" w:eastAsia="zh-CN"/>
        </w:rPr>
        <w:t>陈先生</w:t>
      </w:r>
    </w:p>
    <w:p>
      <w:pPr>
        <w:spacing w:line="360" w:lineRule="auto"/>
        <w:ind w:firstLine="480" w:firstLineChars="200"/>
        <w:rPr>
          <w:rFonts w:hint="eastAsia"/>
          <w:color w:val="auto"/>
          <w:sz w:val="24"/>
          <w:highlight w:val="none"/>
        </w:rPr>
      </w:pPr>
      <w:r>
        <w:rPr>
          <w:rFonts w:hint="eastAsia"/>
          <w:color w:val="auto"/>
          <w:sz w:val="24"/>
          <w:highlight w:val="none"/>
        </w:rPr>
        <w:t>电    话：18659972856</w:t>
      </w:r>
    </w:p>
    <w:p>
      <w:pPr>
        <w:pStyle w:val="8"/>
        <w:spacing w:line="360" w:lineRule="auto"/>
        <w:ind w:left="420"/>
        <w:rPr>
          <w:rFonts w:hint="eastAsia"/>
          <w:color w:val="auto"/>
          <w:sz w:val="24"/>
          <w:highlight w:val="none"/>
        </w:rPr>
      </w:pPr>
    </w:p>
    <w:p>
      <w:pPr>
        <w:spacing w:line="360" w:lineRule="auto"/>
        <w:ind w:firstLine="480" w:firstLineChars="200"/>
        <w:rPr>
          <w:color w:val="auto"/>
          <w:sz w:val="24"/>
          <w:highlight w:val="none"/>
        </w:rPr>
      </w:pPr>
      <w:r>
        <w:rPr>
          <w:color w:val="auto"/>
          <w:sz w:val="24"/>
          <w:highlight w:val="none"/>
        </w:rPr>
        <w:t>委托代理人：福建晖源工程咨询有限公司</w:t>
      </w:r>
    </w:p>
    <w:p>
      <w:pPr>
        <w:spacing w:line="360" w:lineRule="auto"/>
        <w:ind w:firstLine="480" w:firstLineChars="200"/>
        <w:rPr>
          <w:color w:val="auto"/>
          <w:sz w:val="24"/>
          <w:highlight w:val="none"/>
        </w:rPr>
      </w:pPr>
      <w:r>
        <w:rPr>
          <w:color w:val="auto"/>
          <w:sz w:val="24"/>
          <w:highlight w:val="none"/>
        </w:rPr>
        <w:t>地址：</w:t>
      </w:r>
      <w:r>
        <w:rPr>
          <w:rFonts w:hint="eastAsia"/>
          <w:color w:val="auto"/>
          <w:sz w:val="24"/>
          <w:highlight w:val="none"/>
        </w:rPr>
        <w:t>福建省南平市建阳区顺昌街213号祥乐苑15幢一层</w:t>
      </w:r>
    </w:p>
    <w:p>
      <w:pPr>
        <w:spacing w:line="360" w:lineRule="auto"/>
        <w:ind w:firstLine="480" w:firstLineChars="200"/>
        <w:rPr>
          <w:rFonts w:hint="eastAsia" w:eastAsia="宋体"/>
          <w:color w:val="auto"/>
          <w:sz w:val="24"/>
          <w:highlight w:val="none"/>
          <w:lang w:val="en-US" w:eastAsia="zh-CN"/>
        </w:rPr>
      </w:pPr>
      <w:r>
        <w:rPr>
          <w:color w:val="auto"/>
          <w:sz w:val="24"/>
          <w:highlight w:val="none"/>
        </w:rPr>
        <w:t>联系人：</w:t>
      </w:r>
      <w:r>
        <w:rPr>
          <w:rFonts w:hint="eastAsia"/>
          <w:color w:val="auto"/>
          <w:sz w:val="24"/>
          <w:highlight w:val="none"/>
          <w:lang w:val="en-US" w:eastAsia="zh-CN"/>
        </w:rPr>
        <w:t>刘女士</w:t>
      </w:r>
    </w:p>
    <w:p>
      <w:pPr>
        <w:spacing w:line="360" w:lineRule="auto"/>
        <w:ind w:firstLine="480" w:firstLineChars="200"/>
        <w:rPr>
          <w:color w:val="auto"/>
          <w:sz w:val="24"/>
          <w:highlight w:val="none"/>
        </w:rPr>
      </w:pPr>
      <w:r>
        <w:rPr>
          <w:color w:val="auto"/>
          <w:sz w:val="24"/>
          <w:highlight w:val="none"/>
        </w:rPr>
        <w:t>电话：</w:t>
      </w:r>
      <w:r>
        <w:rPr>
          <w:rFonts w:hint="eastAsia" w:ascii="宋体" w:hAnsi="宋体"/>
          <w:color w:val="auto"/>
          <w:sz w:val="24"/>
          <w:highlight w:val="none"/>
        </w:rPr>
        <w:t>0599-5622667</w:t>
      </w:r>
    </w:p>
    <w:p>
      <w:pPr>
        <w:pStyle w:val="9"/>
        <w:rPr>
          <w:rFonts w:ascii="宋体" w:hAnsi="宋体"/>
          <w:color w:val="auto"/>
          <w:highlight w:val="none"/>
        </w:rPr>
      </w:pPr>
    </w:p>
    <w:p>
      <w:pPr>
        <w:spacing w:line="340" w:lineRule="exact"/>
        <w:ind w:firstLine="5400" w:firstLineChars="2250"/>
        <w:jc w:val="center"/>
        <w:rPr>
          <w:rFonts w:hint="eastAsia"/>
          <w:color w:val="auto"/>
          <w:sz w:val="24"/>
          <w:highlight w:val="none"/>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3666B8"/>
    <w:rsid w:val="0B7C1484"/>
    <w:rsid w:val="27471418"/>
    <w:rsid w:val="3EC87E04"/>
    <w:rsid w:val="403666B8"/>
    <w:rsid w:val="6D913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jc w:val="center"/>
      <w:outlineLvl w:val="0"/>
    </w:pPr>
    <w:rPr>
      <w:b/>
      <w:bCs/>
      <w:kern w:val="44"/>
      <w:sz w:val="44"/>
      <w:szCs w:val="44"/>
    </w:rPr>
  </w:style>
  <w:style w:type="paragraph" w:styleId="4">
    <w:name w:val="heading 3"/>
    <w:basedOn w:val="1"/>
    <w:next w:val="1"/>
    <w:qFormat/>
    <w:uiPriority w:val="0"/>
    <w:pPr>
      <w:keepNext/>
      <w:keepLines/>
      <w:spacing w:line="360" w:lineRule="auto"/>
      <w:outlineLvl w:val="2"/>
    </w:pPr>
    <w:rPr>
      <w:b/>
      <w:bCs/>
      <w:sz w:val="24"/>
      <w:szCs w:val="32"/>
    </w:rPr>
  </w:style>
  <w:style w:type="character" w:default="1" w:styleId="10">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1"/>
    <w:qFormat/>
    <w:uiPriority w:val="0"/>
    <w:pPr>
      <w:adjustRightInd w:val="0"/>
      <w:spacing w:line="312" w:lineRule="atLeast"/>
      <w:ind w:firstLine="420"/>
      <w:textAlignment w:val="baseline"/>
    </w:pPr>
    <w:rPr>
      <w:rFonts w:ascii="Times New Roman" w:hAnsi="Times New Roman" w:eastAsia="宋体" w:cs="Times New Roman"/>
      <w:sz w:val="28"/>
      <w:szCs w:val="20"/>
    </w:rPr>
  </w:style>
  <w:style w:type="paragraph" w:styleId="5">
    <w:name w:val="Normal Indent"/>
    <w:basedOn w:val="1"/>
    <w:next w:val="6"/>
    <w:qFormat/>
    <w:uiPriority w:val="0"/>
    <w:pPr>
      <w:ind w:firstLine="420" w:firstLineChars="200"/>
    </w:pPr>
  </w:style>
  <w:style w:type="paragraph" w:styleId="6">
    <w:name w:val="header"/>
    <w:basedOn w:val="1"/>
    <w:next w:val="5"/>
    <w:uiPriority w:val="0"/>
    <w:pPr>
      <w:pBdr>
        <w:bottom w:val="single" w:color="auto" w:sz="6" w:space="1"/>
      </w:pBdr>
      <w:tabs>
        <w:tab w:val="center" w:pos="4153"/>
        <w:tab w:val="right" w:pos="8306"/>
      </w:tabs>
      <w:snapToGrid w:val="0"/>
      <w:jc w:val="center"/>
    </w:pPr>
    <w:rPr>
      <w:sz w:val="18"/>
      <w:szCs w:val="18"/>
    </w:rPr>
  </w:style>
  <w:style w:type="paragraph" w:styleId="7">
    <w:name w:val="Body Text Indent"/>
    <w:basedOn w:val="1"/>
    <w:next w:val="1"/>
    <w:qFormat/>
    <w:uiPriority w:val="0"/>
    <w:pPr>
      <w:spacing w:after="120" w:afterLines="0"/>
      <w:ind w:left="200" w:leftChars="200"/>
    </w:pPr>
  </w:style>
  <w:style w:type="paragraph" w:styleId="8">
    <w:name w:val="Body Text First Indent 2"/>
    <w:basedOn w:val="7"/>
    <w:next w:val="9"/>
    <w:uiPriority w:val="0"/>
    <w:pPr>
      <w:widowControl w:val="0"/>
      <w:spacing w:before="0" w:beforeLines="0" w:beforeAutospacing="0" w:after="120" w:afterLines="0" w:afterAutospacing="0" w:line="360" w:lineRule="auto"/>
      <w:ind w:left="200" w:leftChars="200" w:firstLine="420"/>
      <w:jc w:val="both"/>
    </w:pPr>
    <w:rPr>
      <w:rFonts w:ascii="Times New Roman" w:hAnsi="Times New Roman" w:cs="Times New Roman"/>
      <w:kern w:val="2"/>
      <w:szCs w:val="20"/>
    </w:rPr>
  </w:style>
  <w:style w:type="paragraph" w:customStyle="1" w:styleId="9">
    <w:name w:val="样式 标题 3 + (中文) 黑体 小四 非加粗 段前: 7.8 磅 段后: 0 磅 行距: 固定值 20 磅"/>
    <w:basedOn w:val="4"/>
    <w:qFormat/>
    <w:uiPriority w:val="0"/>
    <w:pPr>
      <w:spacing w:line="400" w:lineRule="exact"/>
    </w:pPr>
    <w:rPr>
      <w:rFonts w:eastAsia="黑体"/>
      <w:b w:val="0"/>
      <w:bCs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2024-04-29T06:26:00Z</dcterms:created>
  <dc:creator>WPS_1636936302</dc:creator>
  <cp:lastModifiedBy>WPS_1636936302</cp:lastModifiedBy>
  <cp:lastPrinted>2024-04-29T06:26:00Z</cp:lastPrinted>
  <dcterms:modified xsi:type="dcterms:W3CDTF">2024-04-30T00:35:00Z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