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zh-CN"/>
        </w:rPr>
        <w:t>第一章  招录公告</w:t>
      </w:r>
    </w:p>
    <w:p>
      <w:pPr>
        <w:autoSpaceDE/>
        <w:autoSpaceDN/>
        <w:adjustRightInd/>
        <w:spacing w:line="400" w:lineRule="exact"/>
        <w:ind w:firstLine="480" w:firstLineChars="200"/>
        <w:jc w:val="left"/>
        <w:rPr>
          <w:rFonts w:hint="eastAsia" w:ascii="宋体" w:hAnsi="宋体" w:cs="宋体"/>
          <w:color w:val="auto"/>
          <w:kern w:val="2"/>
          <w:sz w:val="24"/>
          <w:highlight w:val="none"/>
          <w:lang w:val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为满足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南平武夷发展集团有限公司建设工程项目服务库</w:t>
      </w:r>
      <w:r>
        <w:rPr>
          <w:rFonts w:hint="eastAsia" w:ascii="宋体" w:hAnsi="宋体" w:cs="宋体"/>
          <w:color w:val="auto"/>
          <w:sz w:val="24"/>
          <w:highlight w:val="none"/>
        </w:rPr>
        <w:t>实施动态管理，现对20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4"/>
          <w:highlight w:val="none"/>
        </w:rPr>
        <w:t>年招录已到期的服务库重新招录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本次建库坚持“公平、公正、择优”的原则，</w:t>
      </w:r>
      <w:r>
        <w:rPr>
          <w:rFonts w:hint="eastAsia" w:ascii="宋体" w:hAnsi="宋体" w:cs="宋体"/>
          <w:color w:val="auto"/>
          <w:sz w:val="24"/>
          <w:highlight w:val="none"/>
        </w:rPr>
        <w:t>欢迎有意愿参与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且资格符合要求的国内服务单位</w:t>
      </w:r>
      <w:r>
        <w:rPr>
          <w:rFonts w:hint="eastAsia" w:ascii="宋体" w:hAnsi="宋体" w:cs="宋体"/>
          <w:color w:val="auto"/>
          <w:sz w:val="24"/>
          <w:highlight w:val="none"/>
        </w:rPr>
        <w:t>报名。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南平武夷发展集团有限公司对报名的投录人进行审查，符合要求的投录人分类组建服务库，随后根据实际服务需要，从服务库内分类别选择服务单位。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pacing w:val="-14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1、招录名称：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南平武夷发展集团有限公司建设工程项目服务库招录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2、招录内容及要求：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南平武夷发展集团有限公司建设工程项目服务库招录</w:t>
      </w:r>
      <w:r>
        <w:rPr>
          <w:rFonts w:hint="eastAsia" w:ascii="宋体" w:hAnsi="宋体" w:cs="宋体"/>
          <w:color w:val="auto"/>
          <w:sz w:val="24"/>
          <w:highlight w:val="none"/>
        </w:rPr>
        <w:t>，具体详见本文件第三章。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3、招录报名及领取招录文件（电子文本）截止时间：自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日1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0时止。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报名截止时间以报名费到帐时间为准）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投</w:t>
      </w:r>
      <w:r>
        <w:rPr>
          <w:rFonts w:hint="eastAsia" w:ascii="宋体" w:hAnsi="宋体" w:cs="宋体"/>
          <w:color w:val="auto"/>
          <w:sz w:val="24"/>
          <w:highlight w:val="none"/>
        </w:rPr>
        <w:t>录报名：有意向的投录人可通过网络方式进行报名，否则投录将被拒绝，投录报名费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按类别计，每个类别600</w:t>
      </w:r>
      <w:r>
        <w:rPr>
          <w:rFonts w:hint="eastAsia" w:ascii="宋体" w:hAnsi="宋体" w:cs="宋体"/>
          <w:color w:val="auto"/>
          <w:sz w:val="24"/>
          <w:highlight w:val="none"/>
        </w:rPr>
        <w:t>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投录报名费应从企业账户一次性汇出，汇出账户名称与投录企业名称应一致</w:t>
      </w:r>
      <w:r>
        <w:rPr>
          <w:rFonts w:hint="eastAsia" w:ascii="宋体" w:hAnsi="宋体" w:cs="宋体"/>
          <w:color w:val="auto"/>
          <w:sz w:val="24"/>
          <w:highlight w:val="none"/>
        </w:rPr>
        <w:t>），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过期不售，</w:t>
      </w:r>
      <w:r>
        <w:rPr>
          <w:rFonts w:hint="eastAsia" w:ascii="宋体" w:hAnsi="宋体" w:cs="宋体"/>
          <w:color w:val="auto"/>
          <w:sz w:val="24"/>
          <w:highlight w:val="none"/>
        </w:rPr>
        <w:t>售后不退。通过网络报名的将银行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对公</w:t>
      </w:r>
      <w:r>
        <w:rPr>
          <w:rFonts w:hint="eastAsia" w:ascii="宋体" w:hAnsi="宋体" w:cs="宋体"/>
          <w:color w:val="auto"/>
          <w:sz w:val="24"/>
          <w:highlight w:val="none"/>
        </w:rPr>
        <w:t>电汇底单复印件、营业执照复印件及附件一（报名函）发送至福建晖源工程咨询有限公司邮箱，邮箱为：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"mailto:315218152@qq.com。（公司核对相关信息后将招录文件发至联系人邮箱）。"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315218152@qq.com。（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招录人</w:t>
      </w:r>
      <w:r>
        <w:rPr>
          <w:rFonts w:hint="eastAsia" w:ascii="宋体" w:hAnsi="宋体" w:cs="宋体"/>
          <w:color w:val="auto"/>
          <w:sz w:val="24"/>
          <w:highlight w:val="none"/>
        </w:rPr>
        <w:t>核对相关信息后将招录文件发至联系人邮箱）。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投录人</w:t>
      </w:r>
      <w:r>
        <w:rPr>
          <w:rFonts w:hint="eastAsia" w:ascii="宋体" w:hAnsi="宋体" w:cs="宋体"/>
          <w:color w:val="auto"/>
          <w:sz w:val="24"/>
          <w:highlight w:val="none"/>
        </w:rPr>
        <w:t>资格要求：</w:t>
      </w:r>
    </w:p>
    <w:p>
      <w:pPr>
        <w:snapToGrid w:val="0"/>
        <w:spacing w:line="360" w:lineRule="auto"/>
        <w:ind w:firstLine="480" w:firstLineChars="200"/>
        <w:outlineLvl w:val="0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5.1、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基本条件</w:t>
      </w:r>
    </w:p>
    <w:p>
      <w:pPr>
        <w:snapToGrid w:val="0"/>
        <w:spacing w:line="360" w:lineRule="auto"/>
        <w:ind w:firstLine="480" w:firstLineChars="200"/>
        <w:outlineLvl w:val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5.1.1、投录人应</w:t>
      </w:r>
      <w:r>
        <w:rPr>
          <w:rFonts w:hint="eastAsia" w:ascii="宋体" w:hAnsi="宋体"/>
          <w:color w:val="auto"/>
          <w:sz w:val="24"/>
          <w:highlight w:val="none"/>
        </w:rPr>
        <w:t>为具备独立法人资格，依法取得有效营业执照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相应类别资质证书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5.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1.2</w:t>
      </w:r>
      <w:r>
        <w:rPr>
          <w:rFonts w:hint="eastAsia" w:ascii="宋体" w:hAnsi="宋体"/>
          <w:color w:val="auto"/>
          <w:sz w:val="24"/>
          <w:highlight w:val="none"/>
        </w:rPr>
        <w:t>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投录人</w:t>
      </w:r>
      <w:r>
        <w:rPr>
          <w:rFonts w:hint="eastAsia" w:ascii="宋体" w:hAnsi="宋体"/>
          <w:color w:val="auto"/>
          <w:sz w:val="24"/>
          <w:highlight w:val="none"/>
        </w:rPr>
        <w:t>不得存在违法失信行为，不得被“信用中国”网站（www.creditchina.gov.cn）列入失信被执行人。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提供网站截图证明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5.</w:t>
      </w:r>
      <w:r>
        <w:rPr>
          <w:rFonts w:hint="eastAsia" w:ascii="宋体" w:hAnsi="宋体"/>
          <w:color w:val="auto"/>
          <w:highlight w:val="none"/>
          <w:lang w:val="en-US" w:eastAsia="zh-CN"/>
        </w:rPr>
        <w:t>1.3</w:t>
      </w:r>
      <w:r>
        <w:rPr>
          <w:rFonts w:hint="eastAsia" w:ascii="宋体" w:hAnsi="宋体"/>
          <w:color w:val="auto"/>
          <w:highlight w:val="none"/>
        </w:rPr>
        <w:t>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投录人</w:t>
      </w:r>
      <w:r>
        <w:rPr>
          <w:rFonts w:hint="eastAsia" w:ascii="宋体" w:hAnsi="宋体"/>
          <w:color w:val="auto"/>
          <w:highlight w:val="none"/>
        </w:rPr>
        <w:t>不得被</w:t>
      </w:r>
      <w:r>
        <w:rPr>
          <w:rFonts w:hint="eastAsia" w:ascii="宋体" w:hAnsi="宋体"/>
          <w:color w:val="auto"/>
          <w:highlight w:val="none"/>
          <w:lang w:val="en-GB"/>
        </w:rPr>
        <w:t>“国家企业信用信息公示系统”网站（www.gsxt.gov.cn）</w:t>
      </w:r>
      <w:r>
        <w:rPr>
          <w:rFonts w:hint="eastAsia" w:ascii="宋体" w:hAnsi="宋体"/>
          <w:color w:val="auto"/>
          <w:highlight w:val="none"/>
        </w:rPr>
        <w:t>列入“严重违法失信企业名单”。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提供网站截图证明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  <w:lang w:val="en-US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5.1.4、未被有关行政主管部门责令停业整改的。（提供承诺）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注：上述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highlight w:val="none"/>
        </w:rPr>
        <w:t>项中的任何一项不满足，其资格审查为不合格，投录文件按废录处理。库内各种类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服务单位</w:t>
      </w:r>
      <w:r>
        <w:rPr>
          <w:rFonts w:hint="eastAsia" w:ascii="宋体" w:hAnsi="宋体"/>
          <w:color w:val="auto"/>
          <w:sz w:val="24"/>
          <w:highlight w:val="none"/>
        </w:rPr>
        <w:t>名额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详见投录人须知前附表第二项</w:t>
      </w:r>
      <w:r>
        <w:rPr>
          <w:rFonts w:hint="eastAsia" w:ascii="宋体" w:hAnsi="宋体"/>
          <w:color w:val="auto"/>
          <w:sz w:val="24"/>
          <w:highlight w:val="none"/>
        </w:rPr>
        <w:t>。投录人按服务类别申报，审查合格后将进行资格（资质）、业绩、能力、服务质量、人员情况等进行综合评分，综合评分达到60分及以上的单位进入相对应服务类别的服务库，本次招录各类别入围单位家数按须知附表中的家数入取，合格单位少于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要求</w:t>
      </w:r>
      <w:r>
        <w:rPr>
          <w:rFonts w:hint="eastAsia" w:ascii="宋体" w:hAnsi="宋体"/>
          <w:color w:val="auto"/>
          <w:sz w:val="24"/>
          <w:highlight w:val="none"/>
        </w:rPr>
        <w:t>家数的，全部列入备选单位，合格单位多于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要求</w:t>
      </w:r>
      <w:r>
        <w:rPr>
          <w:rFonts w:hint="eastAsia" w:ascii="宋体" w:hAnsi="宋体"/>
          <w:color w:val="auto"/>
          <w:sz w:val="24"/>
          <w:highlight w:val="none"/>
        </w:rPr>
        <w:t>家数的，按综合评分从高至低排序后选取，若有选取家数内末位并列分的，末位采用摇球方式确定备选单位，其余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合格</w:t>
      </w:r>
      <w:r>
        <w:rPr>
          <w:rFonts w:hint="eastAsia" w:ascii="宋体" w:hAnsi="宋体"/>
          <w:color w:val="auto"/>
          <w:sz w:val="24"/>
          <w:highlight w:val="none"/>
        </w:rPr>
        <w:t>单位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综合评分达60分及以上）</w:t>
      </w:r>
      <w:r>
        <w:rPr>
          <w:rFonts w:hint="eastAsia" w:ascii="宋体" w:hAnsi="宋体"/>
          <w:color w:val="auto"/>
          <w:sz w:val="24"/>
          <w:highlight w:val="none"/>
        </w:rPr>
        <w:t>列为后补单位。备选单位经公示无异议确认为正式入库单位。若某种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宋体" w:hAnsi="宋体"/>
          <w:color w:val="auto"/>
          <w:sz w:val="24"/>
          <w:highlight w:val="none"/>
        </w:rPr>
        <w:t>经评审的合格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服务单位</w:t>
      </w:r>
      <w:r>
        <w:rPr>
          <w:rFonts w:hint="eastAsia" w:ascii="宋体" w:hAnsi="宋体"/>
          <w:color w:val="auto"/>
          <w:sz w:val="24"/>
          <w:highlight w:val="none"/>
        </w:rPr>
        <w:t>少于3名，则该种类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宋体" w:hAnsi="宋体"/>
          <w:color w:val="auto"/>
          <w:sz w:val="24"/>
          <w:highlight w:val="none"/>
        </w:rPr>
        <w:t>不建立名录库。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在服务库的服务期内，若库内单位家数不足时，按后补单位的综合评分排序依次递补入库。</w:t>
      </w:r>
      <w:r>
        <w:rPr>
          <w:rFonts w:hint="eastAsia" w:ascii="宋体" w:hAnsi="宋体"/>
          <w:color w:val="auto"/>
          <w:sz w:val="24"/>
          <w:highlight w:val="none"/>
        </w:rPr>
        <w:t>库内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highlight w:val="none"/>
        </w:rPr>
        <w:t>个种类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5.2、其他资格条件详见投录须知前附表</w:t>
      </w:r>
    </w:p>
    <w:p>
      <w:pPr>
        <w:pStyle w:val="3"/>
        <w:snapToGrid w:val="0"/>
        <w:spacing w:line="360" w:lineRule="auto"/>
        <w:ind w:firstLine="480" w:firstLineChars="200"/>
        <w:rPr>
          <w:rFonts w:hint="default"/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eastAsia="zh-CN"/>
        </w:rPr>
        <w:t>服务库</w:t>
      </w:r>
      <w:r>
        <w:rPr>
          <w:rFonts w:hint="eastAsia"/>
          <w:color w:val="auto"/>
          <w:highlight w:val="none"/>
        </w:rPr>
        <w:t>设以下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类：（1）环境影响评估报告编制单位；（2）地质灾害危险性评估单位；（3）水土保持报告编制单位；（4）可行性研究报告编制单位；（5）土壤检测单位（氡浓度）；（6）建设工程质量检测单位；（7）建筑工程质量检测单位（建筑工程室内环境检测专业类）；（8）</w:t>
      </w:r>
      <w:r>
        <w:rPr>
          <w:rFonts w:hint="eastAsia"/>
          <w:color w:val="auto"/>
          <w:highlight w:val="none"/>
          <w:lang w:eastAsia="zh-CN"/>
        </w:rPr>
        <w:t>公路工程质量检测单位（公路工程）</w:t>
      </w:r>
      <w:r>
        <w:rPr>
          <w:rFonts w:hint="eastAsia"/>
          <w:color w:val="auto"/>
          <w:highlight w:val="none"/>
        </w:rPr>
        <w:t>；（9）资产评估单位（房地产评估）；（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rFonts w:hint="eastAsia"/>
          <w:color w:val="auto"/>
          <w:highlight w:val="none"/>
        </w:rPr>
        <w:t>）资产评估单位（土地评估）；（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val="en-US" w:eastAsia="zh-CN"/>
        </w:rPr>
        <w:t>社会稳定风险评估单位；</w:t>
      </w:r>
      <w:r>
        <w:rPr>
          <w:rFonts w:hint="eastAsia"/>
          <w:color w:val="auto"/>
          <w:highlight w:val="none"/>
        </w:rPr>
        <w:t>（1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）工程造价咨询单位（房建、市政）；（1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rFonts w:hint="eastAsia"/>
          <w:color w:val="auto"/>
          <w:highlight w:val="none"/>
        </w:rPr>
        <w:t>）工程造价咨询单位（公路）；（1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）消防技术服务机构；（1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）使用林地可行性研究报告编制单位、林业用地调查规划设计单位；（1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）通信工程设计单位；（1</w:t>
      </w:r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rFonts w:hint="eastAsia"/>
          <w:color w:val="auto"/>
          <w:highlight w:val="none"/>
        </w:rPr>
        <w:t>）通信工程施工单位；（1</w:t>
      </w:r>
      <w:r>
        <w:rPr>
          <w:rFonts w:hint="eastAsia"/>
          <w:color w:val="auto"/>
          <w:highlight w:val="none"/>
          <w:lang w:val="en-US" w:eastAsia="zh-CN"/>
        </w:rPr>
        <w:t>8</w:t>
      </w:r>
      <w:r>
        <w:rPr>
          <w:rFonts w:hint="eastAsia"/>
          <w:color w:val="auto"/>
          <w:highlight w:val="none"/>
        </w:rPr>
        <w:t>）通信工程监理单位；（1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highlight w:val="none"/>
        </w:rPr>
        <w:t>）配电工程设计单位；（</w:t>
      </w:r>
      <w:r>
        <w:rPr>
          <w:rFonts w:hint="eastAsia"/>
          <w:color w:val="auto"/>
          <w:highlight w:val="none"/>
          <w:lang w:val="en-US" w:eastAsia="zh-CN"/>
        </w:rPr>
        <w:t>20</w:t>
      </w:r>
      <w:r>
        <w:rPr>
          <w:rFonts w:hint="eastAsia"/>
          <w:color w:val="auto"/>
          <w:highlight w:val="none"/>
        </w:rPr>
        <w:t>）施工图审查单位（房建）</w:t>
      </w:r>
      <w:r>
        <w:rPr>
          <w:rFonts w:hint="eastAsia"/>
          <w:color w:val="auto"/>
          <w:highlight w:val="none"/>
          <w:lang w:eastAsia="zh-CN"/>
        </w:rPr>
        <w:t>；</w:t>
      </w:r>
      <w:r>
        <w:rPr>
          <w:rFonts w:hint="eastAsia"/>
          <w:color w:val="auto"/>
          <w:highlight w:val="none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）施工图审查单位（</w:t>
      </w:r>
      <w:r>
        <w:rPr>
          <w:rFonts w:hint="eastAsia"/>
          <w:color w:val="auto"/>
          <w:highlight w:val="none"/>
          <w:lang w:val="en-US" w:eastAsia="zh-CN"/>
        </w:rPr>
        <w:t>市政</w:t>
      </w:r>
      <w:r>
        <w:rPr>
          <w:rFonts w:hint="eastAsia"/>
          <w:color w:val="auto"/>
          <w:highlight w:val="none"/>
        </w:rPr>
        <w:t>）。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※投录人具体要求详见本招录文件《第二章投录人须知》。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6、投录截止时间： 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highlight w:val="none"/>
        </w:rPr>
        <w:t>日（北京时间）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下午17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：00 之前由单位法定代表人或授权委托代理人持授权委托书原件、本人身份证复印件（复印件加盖投录人单位公章，本人身份证原件现场核验）及投录文件提交到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福建晖源工程咨询有限公司建阳办事处（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南平市建阳区童游大街36-10号童子山立交桥下二楼（高速监理办事处对面）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联系人：方先生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，逾期收到的或不符合规定的投录文件将被拒绝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本次招录不接受快递邮寄等方式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接收时间</w:t>
      </w:r>
      <w:r>
        <w:rPr>
          <w:rFonts w:hint="eastAsia" w:ascii="宋体" w:hAnsi="宋体" w:cs="宋体"/>
          <w:color w:val="auto"/>
          <w:sz w:val="24"/>
          <w:highlight w:val="none"/>
        </w:rPr>
        <w:t>：  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-2023年8月18日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每天</w:t>
      </w:r>
      <w:r>
        <w:rPr>
          <w:rFonts w:hint="eastAsia" w:ascii="宋体" w:hAnsi="宋体" w:cs="宋体"/>
          <w:color w:val="auto"/>
          <w:sz w:val="24"/>
          <w:highlight w:val="none"/>
        </w:rPr>
        <w:t>上午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-11：30 ；下午15:30-17：00止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8、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接收</w:t>
      </w:r>
      <w:r>
        <w:rPr>
          <w:rFonts w:hint="eastAsia" w:ascii="宋体" w:hAnsi="宋体" w:cs="宋体"/>
          <w:color w:val="auto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南平市建阳区童游大街36-10号童子山立交桥下二楼（高速监理办事处对面）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9、投录保证金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9.1、投录保证金金额：人民币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伍</w:t>
      </w:r>
      <w:r>
        <w:rPr>
          <w:rFonts w:hint="eastAsia" w:ascii="宋体" w:hAnsi="宋体" w:cs="宋体"/>
          <w:color w:val="auto"/>
          <w:highlight w:val="none"/>
        </w:rPr>
        <w:t>万元整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按类别分别缴纳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</w:rPr>
        <w:t>9.2、投录保证金的递交时间和方式：①投录保证金应从投录人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企业基本账户</w:t>
      </w:r>
      <w:r>
        <w:rPr>
          <w:rFonts w:hint="eastAsia" w:ascii="宋体" w:hAnsi="宋体" w:cs="宋体"/>
          <w:color w:val="auto"/>
          <w:highlight w:val="none"/>
        </w:rPr>
        <w:t>以转账或电汇方式缴纳（不得以现金缴纳）并于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2023年8月18日</w:t>
      </w:r>
      <w:r>
        <w:rPr>
          <w:rFonts w:hint="eastAsia" w:ascii="宋体" w:hAnsi="宋体" w:cs="宋体"/>
          <w:color w:val="auto"/>
          <w:highlight w:val="none"/>
        </w:rPr>
        <w:t>下午17：00前到达指定帐户（以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到帐时间</w:t>
      </w:r>
      <w:r>
        <w:rPr>
          <w:rFonts w:hint="eastAsia" w:ascii="宋体" w:hAnsi="宋体" w:cs="宋体"/>
          <w:color w:val="auto"/>
          <w:highlight w:val="none"/>
        </w:rPr>
        <w:t>为准），并在电汇或银行转账单上注明“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例：环境影响评估报告编制单位</w:t>
      </w:r>
      <w:r>
        <w:rPr>
          <w:rFonts w:hint="eastAsia" w:ascii="宋体" w:hAnsi="宋体" w:cs="宋体"/>
          <w:color w:val="auto"/>
          <w:highlight w:val="none"/>
        </w:rPr>
        <w:t>入库”字样，如因投录人汇款凭证未注明“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例：环境影响评估报告编制单位</w:t>
      </w:r>
      <w:r>
        <w:rPr>
          <w:rFonts w:hint="eastAsia" w:ascii="宋体" w:hAnsi="宋体" w:cs="宋体"/>
          <w:color w:val="auto"/>
          <w:highlight w:val="none"/>
        </w:rPr>
        <w:t>入库”字样造成银行无法识别投录保证金到账情况或识别错误的，其责任由投录人自行承担。招录人在投录截止前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以</w:t>
      </w:r>
      <w:r>
        <w:rPr>
          <w:rFonts w:hint="eastAsia" w:ascii="宋体" w:hAnsi="宋体" w:cs="宋体"/>
          <w:color w:val="auto"/>
          <w:highlight w:val="none"/>
        </w:rPr>
        <w:t>银行查询投录保证金到</w:t>
      </w:r>
      <w:r>
        <w:rPr>
          <w:rFonts w:hint="eastAsia" w:ascii="宋体" w:hAnsi="宋体" w:cs="宋体"/>
          <w:color w:val="auto"/>
          <w:highlight w:val="none"/>
          <w:lang w:eastAsia="zh-CN"/>
        </w:rPr>
        <w:t>账</w:t>
      </w:r>
      <w:r>
        <w:rPr>
          <w:rFonts w:hint="eastAsia" w:ascii="宋体" w:hAnsi="宋体" w:cs="宋体"/>
          <w:color w:val="auto"/>
          <w:highlight w:val="none"/>
        </w:rPr>
        <w:t>情况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为准</w:t>
      </w:r>
      <w:r>
        <w:rPr>
          <w:rFonts w:hint="eastAsia" w:ascii="宋体" w:hAnsi="宋体" w:cs="宋体"/>
          <w:color w:val="auto"/>
          <w:highlight w:val="none"/>
        </w:rPr>
        <w:t>，并以银行投录保证金到</w:t>
      </w:r>
      <w:r>
        <w:rPr>
          <w:rFonts w:hint="eastAsia" w:ascii="宋体" w:hAnsi="宋体" w:cs="宋体"/>
          <w:color w:val="auto"/>
          <w:highlight w:val="none"/>
          <w:lang w:eastAsia="zh-CN"/>
        </w:rPr>
        <w:t>账</w:t>
      </w:r>
      <w:r>
        <w:rPr>
          <w:rFonts w:hint="eastAsia" w:ascii="宋体" w:hAnsi="宋体" w:cs="宋体"/>
          <w:color w:val="auto"/>
          <w:highlight w:val="none"/>
        </w:rPr>
        <w:t>证明作为投录人是否按招录文件规定递交投录保证金的依据。投录人企业基本账户开户许可证或基本存款账户开户银行开具的《基本存款账户信息》上账号应与投录保证金转账回单上账号一致，否则视为未按规定提交投录保证金，资格审查不合格。②银行保函：</w:t>
      </w:r>
      <w:bookmarkStart w:id="0" w:name="EBe5b4b4e9374045fbb0efc56a47b93269"/>
      <w:r>
        <w:rPr>
          <w:rFonts w:hint="eastAsia" w:ascii="宋体" w:hAnsi="宋体" w:cs="宋体"/>
          <w:color w:val="auto"/>
          <w:highlight w:val="none"/>
        </w:rPr>
        <w:t>银行保函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有效期3个月</w:t>
      </w:r>
      <w:r>
        <w:rPr>
          <w:rFonts w:hint="eastAsia" w:ascii="宋体" w:hAnsi="宋体" w:cs="宋体"/>
          <w:color w:val="auto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highlight w:val="none"/>
        </w:rPr>
        <w:t>应由基本存款账户开户银行开具，投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录</w:t>
      </w:r>
      <w:r>
        <w:rPr>
          <w:rFonts w:hint="eastAsia" w:ascii="宋体" w:hAnsi="宋体" w:cs="宋体"/>
          <w:color w:val="auto"/>
          <w:highlight w:val="none"/>
        </w:rPr>
        <w:t>人在递交投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录</w:t>
      </w:r>
      <w:r>
        <w:rPr>
          <w:rFonts w:hint="eastAsia" w:ascii="宋体" w:hAnsi="宋体" w:cs="宋体"/>
          <w:color w:val="auto"/>
          <w:highlight w:val="none"/>
        </w:rPr>
        <w:t>文件同时，应一并将保函的原件单独提交给</w:t>
      </w:r>
      <w:r>
        <w:rPr>
          <w:rFonts w:hint="eastAsia" w:ascii="宋体" w:hAnsi="宋体" w:cs="宋体"/>
          <w:color w:val="auto"/>
          <w:highlight w:val="none"/>
          <w:lang w:eastAsia="zh-CN"/>
        </w:rPr>
        <w:t>招录人</w:t>
      </w:r>
      <w:r>
        <w:rPr>
          <w:rFonts w:hint="eastAsia" w:ascii="宋体" w:hAnsi="宋体" w:cs="宋体"/>
          <w:color w:val="auto"/>
          <w:highlight w:val="none"/>
        </w:rPr>
        <w:t>，否则视为未按规定提交</w:t>
      </w:r>
      <w:r>
        <w:rPr>
          <w:rFonts w:hint="eastAsia" w:ascii="宋体" w:hAnsi="宋体" w:cs="宋体"/>
          <w:color w:val="auto"/>
          <w:highlight w:val="none"/>
          <w:lang w:eastAsia="zh-CN"/>
        </w:rPr>
        <w:t>投录</w:t>
      </w:r>
      <w:r>
        <w:rPr>
          <w:rFonts w:hint="eastAsia" w:ascii="宋体" w:hAnsi="宋体" w:cs="宋体"/>
          <w:color w:val="auto"/>
          <w:highlight w:val="none"/>
        </w:rPr>
        <w:t>保证金，做否决</w:t>
      </w:r>
      <w:r>
        <w:rPr>
          <w:rFonts w:hint="eastAsia" w:ascii="宋体" w:hAnsi="宋体" w:cs="宋体"/>
          <w:color w:val="auto"/>
          <w:highlight w:val="none"/>
          <w:lang w:eastAsia="zh-CN"/>
        </w:rPr>
        <w:t>投录</w:t>
      </w:r>
      <w:r>
        <w:rPr>
          <w:rFonts w:hint="eastAsia" w:ascii="宋体" w:hAnsi="宋体" w:cs="宋体"/>
          <w:color w:val="auto"/>
          <w:highlight w:val="none"/>
        </w:rPr>
        <w:t>处理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  <w:bookmarkEnd w:id="0"/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9.3、投录人缴纳投录保证金后将银行回单做为投录材料，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招录</w:t>
      </w:r>
      <w:r>
        <w:rPr>
          <w:rFonts w:hint="eastAsia" w:ascii="宋体" w:hAnsi="宋体" w:cs="宋体"/>
          <w:color w:val="auto"/>
          <w:highlight w:val="none"/>
        </w:rPr>
        <w:t>方财务核查未按规定时间到</w:t>
      </w:r>
      <w:r>
        <w:rPr>
          <w:rFonts w:hint="eastAsia" w:ascii="宋体" w:hAnsi="宋体" w:cs="宋体"/>
          <w:color w:val="auto"/>
          <w:highlight w:val="none"/>
          <w:lang w:eastAsia="zh-CN"/>
        </w:rPr>
        <w:t>账</w:t>
      </w:r>
      <w:r>
        <w:rPr>
          <w:rFonts w:hint="eastAsia" w:ascii="宋体" w:hAnsi="宋体" w:cs="宋体"/>
          <w:color w:val="auto"/>
          <w:highlight w:val="none"/>
        </w:rPr>
        <w:t>的视为未缴纳投录保证金，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视为投录人主动放弃投录</w:t>
      </w:r>
      <w:r>
        <w:rPr>
          <w:rFonts w:hint="eastAsia" w:ascii="宋体" w:hAnsi="宋体" w:cs="宋体"/>
          <w:color w:val="auto"/>
          <w:highlight w:val="none"/>
        </w:rPr>
        <w:t>。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待招录工作结束公示期满后15个工作日内无息退还投录保证金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10、投录人对招录文件如有疑问，必须在投录截止时间5日前，将问题以书面的形式提交到福建晖源工程咨询有限公司，口头提交质疑澄清的问题不予接受。招录文件的修改、补充或澄清将通过中国招标投标公共服务平台(http://www.cebpubservice.com/)、海易招电子招标投标交易平台（www.hyebid.cn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highlight w:val="none"/>
        </w:rPr>
        <w:t>武夷发展集团网站（www.wuyijt.com）发布的形式，通知所有潜在的投录人，并对其具有约束力。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11、以上如有变更，福建晖源工程咨询有限公司将通过中国招标投标公共服务平台(http://www.cebpubservice.com/)、海易招电子招标投标交易平台（www.hyebid.cn）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highlight w:val="none"/>
        </w:rPr>
        <w:t>武夷发展集团网站（www.wuyijt.com）通知，请投录人自行关注。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12、</w:t>
      </w:r>
      <w:r>
        <w:rPr>
          <w:rFonts w:hint="eastAsia" w:ascii="宋体" w:hAnsi="宋体" w:cs="宋体"/>
          <w:color w:val="auto"/>
          <w:highlight w:val="none"/>
          <w:lang w:eastAsia="zh-CN"/>
        </w:rPr>
        <w:t>投录</w:t>
      </w:r>
      <w:r>
        <w:rPr>
          <w:rFonts w:hint="eastAsia" w:ascii="宋体" w:hAnsi="宋体" w:cs="宋体"/>
          <w:color w:val="auto"/>
          <w:highlight w:val="none"/>
        </w:rPr>
        <w:t>份数及包封</w:t>
      </w:r>
    </w:p>
    <w:p>
      <w:pPr>
        <w:pStyle w:val="3"/>
        <w:snapToGrid w:val="0"/>
        <w:spacing w:line="360" w:lineRule="auto"/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投录文件</w:t>
      </w:r>
      <w:r>
        <w:rPr>
          <w:rFonts w:hint="eastAsia" w:ascii="宋体" w:hAnsi="宋体" w:cs="宋体"/>
          <w:color w:val="auto"/>
          <w:highlight w:val="none"/>
        </w:rPr>
        <w:t>统一用A4纸装订成册，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每个类别单独提供</w:t>
      </w:r>
      <w:r>
        <w:rPr>
          <w:rFonts w:hint="eastAsia" w:ascii="宋体" w:hAnsi="宋体" w:cs="宋体"/>
          <w:color w:val="auto"/>
          <w:highlight w:val="none"/>
        </w:rPr>
        <w:t>，并用档案袋密封后提交。档案袋上注明投录人名称、</w:t>
      </w:r>
      <w:r>
        <w:rPr>
          <w:rFonts w:hint="eastAsia" w:ascii="宋体" w:hAnsi="宋体" w:cs="宋体"/>
          <w:color w:val="auto"/>
          <w:highlight w:val="none"/>
          <w:lang w:eastAsia="zh-CN"/>
        </w:rPr>
        <w:t>联系人、</w:t>
      </w:r>
      <w:r>
        <w:rPr>
          <w:rFonts w:hint="eastAsia" w:ascii="宋体" w:hAnsi="宋体" w:cs="宋体"/>
          <w:color w:val="auto"/>
          <w:highlight w:val="none"/>
        </w:rPr>
        <w:t>联系电话、电子邮件地址及邮寄地址等。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招录人：南平武夷发展集团有限公司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福建省南平市建阳区建平大道937号</w:t>
      </w:r>
      <w:r>
        <w:rPr>
          <w:rFonts w:hint="eastAsia" w:ascii="宋体" w:hAnsi="宋体" w:cs="宋体"/>
          <w:color w:val="auto"/>
          <w:sz w:val="24"/>
          <w:highlight w:val="none"/>
        </w:rPr>
        <w:t>南平武夷发展集团有限公司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第二会议室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外国语学校对面，大门入口右侧一楼） </w:t>
      </w:r>
      <w:r>
        <w:rPr>
          <w:rFonts w:hint="eastAsia" w:ascii="宋体" w:hAnsi="宋体" w:cs="宋体"/>
          <w:color w:val="auto"/>
          <w:sz w:val="24"/>
          <w:highlight w:val="none"/>
        </w:rPr>
        <w:t>，邮编：35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42</w:t>
      </w:r>
      <w:r>
        <w:rPr>
          <w:rFonts w:hint="eastAsia" w:ascii="宋体" w:hAnsi="宋体" w:cs="宋体"/>
          <w:color w:val="auto"/>
          <w:sz w:val="24"/>
          <w:highlight w:val="none"/>
        </w:rPr>
        <w:t>00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方先生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15159450913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监督单位：南平武夷发展集团有限公司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纪检监察室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0599-8872199</w:t>
      </w:r>
    </w:p>
    <w:p>
      <w:pPr>
        <w:pStyle w:val="3"/>
        <w:snapToGrid w:val="0"/>
        <w:spacing w:line="360" w:lineRule="auto"/>
        <w:ind w:firstLine="480" w:firstLineChars="200"/>
        <w:rPr>
          <w:rFonts w:hint="eastAsia"/>
          <w:color w:val="auto"/>
          <w:highlight w:val="none"/>
        </w:rPr>
      </w:pP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报名费转账银行账户：</w:t>
      </w: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账户名称：福建晖源工程咨询有限公司</w:t>
      </w: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账    号：13911301040002420</w:t>
      </w: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开户银行：</w:t>
      </w:r>
      <w:r>
        <w:rPr>
          <w:rFonts w:hint="eastAsia" w:ascii="宋体" w:hAnsi="宋体" w:cs="宋体"/>
          <w:color w:val="auto"/>
          <w:sz w:val="24"/>
          <w:highlight w:val="none"/>
        </w:rPr>
        <w:t>农行南平三元支行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投录保证金银行帐号：</w:t>
      </w: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开户名称：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福建晖源工程咨询有限公司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80" w:firstLineChars="200"/>
        <w:rPr>
          <w:rFonts w:hint="eastAsia" w:ascii="宋体" w:hAnsi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账  号：</w:t>
      </w:r>
      <w:r>
        <w:rPr>
          <w:rFonts w:hint="eastAsia" w:ascii="宋体" w:hAnsi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192010100100163821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开户银行：</w:t>
      </w:r>
      <w:r>
        <w:rPr>
          <w:rFonts w:hint="eastAsia" w:ascii="宋体" w:hAnsi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</w:rPr>
        <w:t>兴业银行延平支行</w:t>
      </w:r>
    </w:p>
    <w:p>
      <w:pPr>
        <w:snapToGrid w:val="0"/>
        <w:spacing w:line="360" w:lineRule="auto"/>
        <w:ind w:left="0" w:leftChars="0" w:firstLine="48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br w:type="page"/>
      </w:r>
      <w:r>
        <w:rPr>
          <w:rFonts w:hint="eastAsia" w:ascii="宋体" w:hAnsi="宋体" w:cs="宋体"/>
          <w:color w:val="auto"/>
          <w:sz w:val="24"/>
          <w:highlight w:val="none"/>
        </w:rPr>
        <w:t>附件</w:t>
      </w:r>
    </w:p>
    <w:p>
      <w:pPr>
        <w:ind w:firstLine="723" w:firstLineChars="200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南平武夷发展集团有限公司建设工程项目</w:t>
      </w:r>
    </w:p>
    <w:p>
      <w:pPr>
        <w:ind w:firstLine="723" w:firstLineChars="200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服务库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</w:rPr>
        <w:t>报名函</w:t>
      </w: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</w:p>
    <w:p>
      <w:pPr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</w:pP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投录的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服务</w:t>
      </w:r>
      <w:r>
        <w:rPr>
          <w:rFonts w:hint="eastAsia" w:ascii="宋体" w:hAnsi="宋体" w:cs="宋体"/>
          <w:color w:val="auto"/>
          <w:sz w:val="24"/>
          <w:highlight w:val="none"/>
        </w:rPr>
        <w:t>库类别：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                            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投录单位名称：（加盖公章） 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投录单位地址：</w:t>
      </w:r>
    </w:p>
    <w:p>
      <w:pPr>
        <w:spacing w:line="24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投录单位传真：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投录单位电话：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投录单位电子邮箱（可接收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招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录文件）： 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   系   人： 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  系 电 话： </w:t>
      </w:r>
    </w:p>
    <w:p>
      <w:pPr>
        <w:spacing w:line="24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pacing w:line="46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附： 1、法定代表人授权委托书；</w:t>
      </w:r>
    </w:p>
    <w:p>
      <w:pPr>
        <w:spacing w:line="460" w:lineRule="exact"/>
        <w:ind w:firstLine="600" w:firstLineChars="25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2、被授权人身份证原件复印件（复印件加盖公章）；</w:t>
      </w:r>
    </w:p>
    <w:p>
      <w:pPr>
        <w:spacing w:line="460" w:lineRule="exact"/>
        <w:ind w:firstLine="600" w:firstLineChars="25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3、企业法人营业执照副本等证明投录人资格的证明材料（复印件加盖公章）；</w:t>
      </w:r>
    </w:p>
    <w:p>
      <w:pPr>
        <w:spacing w:line="46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注：①符合条件且有意向的投录人报名时请将报名银行转账凭证截图、营业执照复印件及附件一（报名函）发送至福建晖源工程咨询有限公司邮箱，邮箱为：315218152@qq.com。（招录人核对相关信息后将招录文件发至联系人邮箱）。</w:t>
      </w:r>
    </w:p>
    <w:p>
      <w:pPr>
        <w:pStyle w:val="6"/>
        <w:spacing w:line="460" w:lineRule="exact"/>
        <w:ind w:firstLine="42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</w:rPr>
        <w:t xml:space="preserve"> ②报名函应注明本次投录的</w:t>
      </w:r>
      <w:r>
        <w:rPr>
          <w:rFonts w:hint="eastAsia"/>
          <w:color w:val="auto"/>
          <w:highlight w:val="none"/>
          <w:lang w:val="en-US" w:eastAsia="zh-CN"/>
        </w:rPr>
        <w:t>服务</w:t>
      </w:r>
      <w:r>
        <w:rPr>
          <w:rFonts w:hint="eastAsia"/>
          <w:color w:val="auto"/>
          <w:highlight w:val="none"/>
        </w:rPr>
        <w:t>库</w:t>
      </w:r>
      <w:r>
        <w:rPr>
          <w:rFonts w:hint="eastAsia"/>
          <w:color w:val="auto"/>
          <w:highlight w:val="none"/>
          <w:lang w:eastAsia="zh-CN"/>
        </w:rPr>
        <w:t>类别</w:t>
      </w:r>
      <w:r>
        <w:rPr>
          <w:rFonts w:hint="eastAsia"/>
          <w:color w:val="auto"/>
          <w:highlight w:val="none"/>
        </w:rPr>
        <w:t>。</w:t>
      </w:r>
    </w:p>
    <w:p>
      <w:pPr>
        <w:pStyle w:val="6"/>
        <w:spacing w:line="460" w:lineRule="exact"/>
        <w:ind w:firstLine="960" w:firstLineChars="400"/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</w:rPr>
        <w:t>③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待招录公示结束后，投录人如有开票需要，请将开票信息发送至报名邮箱。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1C81"/>
    <w:rsid w:val="015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3">
    <w:name w:val="Body Text"/>
    <w:basedOn w:val="1"/>
    <w:next w:val="1"/>
    <w:uiPriority w:val="0"/>
    <w:pPr>
      <w:spacing w:line="380" w:lineRule="exact"/>
    </w:pPr>
    <w:rPr>
      <w:sz w:val="24"/>
    </w:rPr>
  </w:style>
  <w:style w:type="paragraph" w:customStyle="1" w:styleId="6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2023-08-02T00:08:00Z</dcterms:created>
  <dc:creator>lenovo</dc:creator>
  <cp:lastModifiedBy>lenovo</cp:lastModifiedBy>
  <dcterms:modified xsi:type="dcterms:W3CDTF">2023-08-02T00:09:24Z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