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hAnsiTheme="minorEastAsia"/>
          <w:sz w:val="44"/>
          <w:szCs w:val="44"/>
        </w:rPr>
      </w:pPr>
      <w:r>
        <w:rPr>
          <w:rFonts w:hint="eastAsia" w:ascii="方正小标宋简体" w:eastAsia="方正小标宋简体" w:cs="Times New Roman" w:hAnsiTheme="minorEastAsia"/>
          <w:sz w:val="44"/>
          <w:szCs w:val="44"/>
          <w:lang w:val="en-US" w:eastAsia="zh-CN"/>
        </w:rPr>
        <w:t>南</w:t>
      </w:r>
      <w:r>
        <w:rPr>
          <w:rFonts w:hint="eastAsia" w:ascii="方正小标宋简体" w:eastAsia="方正小标宋简体" w:cs="Times New Roman" w:hAnsiTheme="minorEastAsia"/>
          <w:sz w:val="44"/>
          <w:szCs w:val="44"/>
        </w:rPr>
        <w:t>平武夷集团商务写字楼项目预算审核工作服务单位询价函</w:t>
      </w:r>
      <w:r>
        <w:rPr>
          <w:rFonts w:hint="eastAsia" w:ascii="方正小标宋简体" w:eastAsia="方正小标宋简体" w:hAnsiTheme="minorEastAsia"/>
          <w:sz w:val="44"/>
          <w:szCs w:val="44"/>
        </w:rPr>
        <w:t>补遗书</w:t>
      </w:r>
    </w:p>
    <w:p>
      <w:pPr>
        <w:spacing w:line="660" w:lineRule="exact"/>
        <w:jc w:val="right"/>
        <w:rPr>
          <w:rFonts w:asciiTheme="minorEastAsia" w:hAnsiTheme="minorEastAsia" w:eastAsiaTheme="minorEastAsia"/>
          <w:sz w:val="28"/>
          <w:szCs w:val="28"/>
          <w:lang w:val="zh-CN"/>
        </w:rPr>
      </w:pPr>
      <w:r>
        <w:rPr>
          <w:rFonts w:hint="eastAsia" w:ascii="方正小标宋简体" w:eastAsia="方正小标宋简体"/>
          <w:sz w:val="44"/>
          <w:szCs w:val="44"/>
        </w:rPr>
        <w:t xml:space="preserve">            </w:t>
      </w:r>
      <w:r>
        <w:rPr>
          <w:rFonts w:hint="eastAsia" w:ascii="方正小标宋简体" w:eastAsia="方正小标宋简体"/>
          <w:sz w:val="28"/>
          <w:szCs w:val="28"/>
        </w:rPr>
        <w:t>第001号</w:t>
      </w:r>
    </w:p>
    <w:p>
      <w:pPr>
        <w:spacing w:line="590" w:lineRule="exact"/>
        <w:rPr>
          <w:rFonts w:ascii="仿宋_GB2312" w:hAnsi="仿宋" w:eastAsia="仿宋_GB2312"/>
          <w:sz w:val="32"/>
          <w:szCs w:val="32"/>
          <w:lang w:val="zh-CN"/>
        </w:rPr>
      </w:pPr>
      <w:r>
        <w:rPr>
          <w:rFonts w:hint="eastAsia" w:ascii="仿宋_GB2312" w:hAnsi="仿宋" w:eastAsia="仿宋_GB2312"/>
          <w:sz w:val="32"/>
          <w:szCs w:val="32"/>
          <w:lang w:val="zh-CN"/>
        </w:rPr>
        <w:t>各承诺人：</w:t>
      </w:r>
    </w:p>
    <w:p>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、本次</w:t>
      </w:r>
      <w:r>
        <w:rPr>
          <w:rFonts w:hint="eastAsia" w:ascii="仿宋_GB2312" w:hAnsi="仿宋" w:eastAsia="仿宋_GB2312"/>
          <w:sz w:val="32"/>
          <w:szCs w:val="32"/>
          <w:lang w:val="en-US" w:eastAsia="zh-CN"/>
        </w:rPr>
        <w:t>询价函第3条工作内容是否增加</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答：本次</w:t>
      </w:r>
      <w:r>
        <w:rPr>
          <w:rFonts w:hint="eastAsia" w:ascii="仿宋_GB2312" w:hAnsi="仿宋" w:eastAsia="仿宋_GB2312"/>
          <w:sz w:val="32"/>
          <w:szCs w:val="32"/>
          <w:lang w:val="en-US" w:eastAsia="zh-CN"/>
        </w:rPr>
        <w:t>询价函第3条工作内容增</w:t>
      </w:r>
      <w:r>
        <w:rPr>
          <w:rFonts w:hint="eastAsia" w:ascii="仿宋_GB2312" w:hAnsi="仿宋" w:eastAsia="仿宋_GB2312" w:cs="Times New Roman"/>
          <w:sz w:val="32"/>
          <w:szCs w:val="32"/>
          <w:lang w:val="en-US" w:eastAsia="zh-CN"/>
        </w:rPr>
        <w:t>加“南平市实验幼儿园武夷新区分校一、分校二装修工程结算专项审核，审核金额约500万元；建阳经济开发区精细化工产业园项目电力建设结算审核，审核金额约180万元；建阳经济开发区精细化工产业园供水工程预算审核，审核金额约3500万元。”</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二、本次</w:t>
      </w:r>
      <w:bookmarkStart w:id="0" w:name="_Toc515434362"/>
      <w:bookmarkStart w:id="1" w:name="_Toc444698705"/>
      <w:bookmarkStart w:id="2" w:name="_Toc10209329"/>
      <w:r>
        <w:rPr>
          <w:rFonts w:hint="eastAsia" w:ascii="仿宋_GB2312" w:hAnsi="仿宋" w:eastAsia="仿宋_GB2312" w:cs="Times New Roman"/>
          <w:sz w:val="32"/>
          <w:szCs w:val="32"/>
          <w:lang w:val="en-US" w:eastAsia="zh-CN"/>
        </w:rPr>
        <w:t>询价函最高限价19.24万元是否调整</w:t>
      </w:r>
      <w:bookmarkEnd w:id="0"/>
      <w:bookmarkEnd w:id="1"/>
      <w:bookmarkEnd w:id="2"/>
      <w:r>
        <w:rPr>
          <w:rFonts w:hint="eastAsia" w:ascii="仿宋_GB2312" w:hAnsi="仿宋" w:eastAsia="仿宋_GB2312" w:cs="Times New Roman"/>
          <w:sz w:val="32"/>
          <w:szCs w:val="32"/>
          <w:lang w:val="en-US" w:eastAsia="zh-CN"/>
        </w:rPr>
        <w:t>？</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答：本次询价函最高限价调整为266656元。</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三、本次南平武夷集团商务写字楼项目预算审核工作服务单位报价函是否修改？</w:t>
      </w:r>
    </w:p>
    <w:p>
      <w:pPr>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答：本次</w:t>
      </w:r>
      <w:r>
        <w:rPr>
          <w:rFonts w:hint="eastAsia" w:ascii="仿宋_GB2312" w:hAnsi="仿宋" w:eastAsia="仿宋_GB2312" w:cs="Times New Roman"/>
          <w:sz w:val="32"/>
          <w:szCs w:val="32"/>
          <w:lang w:val="en-US" w:eastAsia="zh-CN"/>
        </w:rPr>
        <w:t>南平武夷集团商务写字楼项目预算审核工作服务单位报价函按如下承诺报价函进行修改并报价：</w:t>
      </w:r>
    </w:p>
    <w:p>
      <w:pPr>
        <w:jc w:val="center"/>
        <w:rPr>
          <w:rFonts w:hint="eastAsia" w:ascii="仿宋" w:hAnsi="仿宋" w:eastAsia="仿宋" w:cs="宋体"/>
          <w:b/>
          <w:sz w:val="36"/>
          <w:szCs w:val="36"/>
        </w:rPr>
      </w:pPr>
    </w:p>
    <w:p>
      <w:pPr>
        <w:pStyle w:val="2"/>
        <w:rPr>
          <w:rFonts w:hint="eastAsia" w:ascii="仿宋" w:hAnsi="仿宋" w:eastAsia="仿宋" w:cs="宋体"/>
          <w:b/>
          <w:sz w:val="36"/>
          <w:szCs w:val="36"/>
        </w:rPr>
      </w:pPr>
    </w:p>
    <w:p>
      <w:pPr>
        <w:pStyle w:val="2"/>
        <w:rPr>
          <w:rFonts w:hint="eastAsia" w:ascii="仿宋" w:hAnsi="仿宋" w:eastAsia="仿宋" w:cs="宋体"/>
          <w:b/>
          <w:sz w:val="36"/>
          <w:szCs w:val="36"/>
        </w:rPr>
      </w:pPr>
    </w:p>
    <w:p>
      <w:pPr>
        <w:pStyle w:val="2"/>
        <w:rPr>
          <w:rFonts w:hint="eastAsia" w:ascii="仿宋" w:hAnsi="仿宋" w:eastAsia="仿宋" w:cs="宋体"/>
          <w:b/>
          <w:sz w:val="36"/>
          <w:szCs w:val="36"/>
        </w:rPr>
      </w:pPr>
    </w:p>
    <w:p>
      <w:pPr>
        <w:pStyle w:val="2"/>
        <w:rPr>
          <w:rFonts w:hint="eastAsia" w:ascii="仿宋" w:hAnsi="仿宋" w:eastAsia="仿宋" w:cs="宋体"/>
          <w:b/>
          <w:sz w:val="36"/>
          <w:szCs w:val="36"/>
        </w:rPr>
      </w:pPr>
    </w:p>
    <w:p>
      <w:pPr>
        <w:jc w:val="center"/>
        <w:rPr>
          <w:rFonts w:hint="eastAsia" w:ascii="仿宋" w:hAnsi="仿宋" w:eastAsia="仿宋" w:cs="宋体"/>
          <w:b/>
          <w:sz w:val="36"/>
          <w:szCs w:val="36"/>
        </w:rPr>
      </w:pPr>
    </w:p>
    <w:p>
      <w:pPr>
        <w:jc w:val="center"/>
        <w:rPr>
          <w:rFonts w:hint="eastAsia" w:ascii="仿宋" w:hAnsi="仿宋" w:eastAsia="仿宋" w:cs="宋体"/>
          <w:b/>
          <w:sz w:val="36"/>
          <w:szCs w:val="36"/>
        </w:rPr>
      </w:pPr>
      <w:r>
        <w:rPr>
          <w:rFonts w:hint="eastAsia" w:ascii="仿宋" w:hAnsi="仿宋" w:eastAsia="仿宋" w:cs="宋体"/>
          <w:b/>
          <w:sz w:val="36"/>
          <w:szCs w:val="36"/>
          <w:lang w:val="en-US" w:eastAsia="zh-CN"/>
        </w:rPr>
        <w:t>承诺</w:t>
      </w:r>
      <w:r>
        <w:rPr>
          <w:rFonts w:hint="eastAsia" w:ascii="仿宋" w:hAnsi="仿宋" w:eastAsia="仿宋" w:cs="宋体"/>
          <w:b/>
          <w:sz w:val="36"/>
          <w:szCs w:val="36"/>
        </w:rPr>
        <w:t>报价函</w:t>
      </w:r>
    </w:p>
    <w:p>
      <w:pPr>
        <w:rPr>
          <w:rFonts w:hint="eastAsia" w:ascii="仿宋" w:hAnsi="仿宋" w:eastAsia="仿宋"/>
          <w:sz w:val="30"/>
          <w:szCs w:val="30"/>
        </w:rPr>
      </w:pPr>
    </w:p>
    <w:p>
      <w:pPr>
        <w:rPr>
          <w:rFonts w:hint="default" w:ascii="仿宋" w:hAnsi="仿宋" w:eastAsia="仿宋"/>
          <w:sz w:val="30"/>
          <w:szCs w:val="30"/>
          <w:lang w:val="en-US" w:eastAsia="zh-CN"/>
        </w:rPr>
      </w:pPr>
      <w:r>
        <w:rPr>
          <w:rFonts w:hint="eastAsia" w:ascii="仿宋" w:hAnsi="仿宋" w:eastAsia="仿宋"/>
          <w:sz w:val="30"/>
          <w:szCs w:val="30"/>
        </w:rPr>
        <w:t>致：</w:t>
      </w:r>
      <w:r>
        <w:rPr>
          <w:rFonts w:hint="eastAsia" w:ascii="仿宋" w:hAnsi="仿宋" w:eastAsia="仿宋"/>
          <w:sz w:val="30"/>
          <w:szCs w:val="30"/>
          <w:u w:val="single"/>
        </w:rPr>
        <w:t>南平高速建设有限公司</w:t>
      </w:r>
      <w:r>
        <w:rPr>
          <w:rFonts w:hint="eastAsia" w:ascii="仿宋" w:hAnsi="仿宋" w:eastAsia="仿宋"/>
          <w:sz w:val="30"/>
          <w:szCs w:val="30"/>
          <w:u w:val="single"/>
          <w:lang w:eastAsia="zh-CN"/>
        </w:rPr>
        <w:t>、</w:t>
      </w:r>
      <w:r>
        <w:rPr>
          <w:rFonts w:hint="eastAsia" w:ascii="仿宋" w:hAnsi="仿宋" w:eastAsia="仿宋"/>
          <w:sz w:val="30"/>
          <w:szCs w:val="30"/>
          <w:u w:val="single"/>
          <w:lang w:val="en-US" w:eastAsia="zh-CN"/>
        </w:rPr>
        <w:t>南平建设集团有限公司</w:t>
      </w:r>
    </w:p>
    <w:p>
      <w:pPr>
        <w:rPr>
          <w:rFonts w:hint="eastAsia" w:ascii="仿宋" w:hAnsi="仿宋" w:eastAsia="仿宋"/>
          <w:sz w:val="30"/>
          <w:szCs w:val="30"/>
        </w:rPr>
      </w:pPr>
      <w:r>
        <w:rPr>
          <w:rFonts w:hint="eastAsia" w:ascii="仿宋" w:hAnsi="仿宋" w:eastAsia="仿宋"/>
          <w:sz w:val="30"/>
          <w:szCs w:val="30"/>
        </w:rPr>
        <w:t xml:space="preserve">    根据贵司南平武夷集团商务写字楼项目预算审核工作服务单位</w:t>
      </w:r>
      <w:r>
        <w:rPr>
          <w:rFonts w:hint="eastAsia" w:ascii="仿宋" w:hAnsi="仿宋" w:eastAsia="仿宋"/>
          <w:sz w:val="30"/>
          <w:szCs w:val="30"/>
          <w:lang w:val="en-US" w:eastAsia="zh-CN"/>
        </w:rPr>
        <w:t>询价</w:t>
      </w:r>
      <w:r>
        <w:rPr>
          <w:rFonts w:hint="eastAsia" w:ascii="仿宋" w:hAnsi="仿宋" w:eastAsia="仿宋"/>
          <w:sz w:val="30"/>
          <w:szCs w:val="30"/>
        </w:rPr>
        <w:t>函的要求，我司承诺如下：</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1、根据贵司提供所需相关资料完整的前提下，按照国家有关</w:t>
      </w:r>
      <w:r>
        <w:rPr>
          <w:rFonts w:hint="eastAsia" w:ascii="仿宋" w:hAnsi="仿宋" w:eastAsia="仿宋"/>
          <w:sz w:val="30"/>
          <w:szCs w:val="30"/>
          <w:lang w:val="en-US" w:eastAsia="zh-CN"/>
        </w:rPr>
        <w:t>法律、法规、科学、公正、合理地对南平武夷集团商务写字楼项目预算审核、南平市实验幼儿园武夷新区分校一、分校二装修工程结算专项审核、建阳经济开发区精细化工产业园项目电力建设结算审核、建阳经济开发区精细化工产业园供水工程预算审核服务进行报价。</w:t>
      </w:r>
    </w:p>
    <w:p>
      <w:pPr>
        <w:ind w:firstLine="600" w:firstLineChars="200"/>
        <w:rPr>
          <w:rFonts w:hint="eastAsia"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val="en-US" w:eastAsia="zh-CN"/>
        </w:rPr>
        <w:t>南平武夷集团商务写字楼项目预算审核、南平市实验幼儿园武夷新区分校一、分校二装修工程结算专项审核、建阳经济开发区精细化工产业园项目电力建设结算审核、建阳经济开发区精细化工产业园供水工程预算审核服务</w:t>
      </w:r>
      <w:r>
        <w:rPr>
          <w:rFonts w:hint="eastAsia" w:ascii="仿宋" w:hAnsi="仿宋" w:eastAsia="仿宋"/>
          <w:sz w:val="30"/>
          <w:szCs w:val="30"/>
        </w:rPr>
        <w:t>（按照国家相关</w:t>
      </w:r>
      <w:r>
        <w:rPr>
          <w:rFonts w:hint="eastAsia" w:ascii="仿宋" w:hAnsi="仿宋" w:eastAsia="仿宋"/>
          <w:sz w:val="30"/>
          <w:szCs w:val="30"/>
          <w:lang w:val="en-US" w:eastAsia="zh-CN"/>
        </w:rPr>
        <w:t>规定</w:t>
      </w:r>
      <w:r>
        <w:rPr>
          <w:rFonts w:hint="eastAsia" w:ascii="仿宋" w:hAnsi="仿宋" w:eastAsia="仿宋"/>
          <w:sz w:val="30"/>
          <w:szCs w:val="30"/>
        </w:rPr>
        <w:t>进行</w:t>
      </w:r>
      <w:r>
        <w:rPr>
          <w:rFonts w:hint="eastAsia" w:ascii="仿宋" w:hAnsi="仿宋" w:eastAsia="仿宋"/>
          <w:sz w:val="30"/>
          <w:szCs w:val="30"/>
          <w:lang w:val="en-US" w:eastAsia="zh-CN"/>
        </w:rPr>
        <w:t>预算、结算审核工作</w:t>
      </w:r>
      <w:r>
        <w:rPr>
          <w:rFonts w:hint="eastAsia" w:ascii="仿宋" w:hAnsi="仿宋" w:eastAsia="仿宋"/>
          <w:sz w:val="30"/>
          <w:szCs w:val="30"/>
        </w:rPr>
        <w:t>、提供增值税专用发票等）收费标准，按照</w:t>
      </w:r>
      <w:r>
        <w:rPr>
          <w:rFonts w:hint="eastAsia" w:ascii="仿宋" w:hAnsi="仿宋" w:eastAsia="仿宋" w:cs="仿宋"/>
          <w:sz w:val="30"/>
          <w:szCs w:val="30"/>
        </w:rPr>
        <w:t>《福建省物价局关于规范建设工程造价咨询服务收费有关问题的通知》(闽价〔2002〕房457号)文的取费标准。</w:t>
      </w:r>
    </w:p>
    <w:p>
      <w:pPr>
        <w:pStyle w:val="2"/>
        <w:ind w:firstLine="0" w:firstLineChars="0"/>
        <w:rPr>
          <w:rFonts w:hint="eastAsia" w:ascii="仿宋" w:hAnsi="仿宋" w:eastAsia="仿宋" w:cs="仿宋"/>
          <w:b w:val="0"/>
          <w:sz w:val="30"/>
          <w:szCs w:val="30"/>
          <w:lang w:val="en-US" w:eastAsia="zh-CN"/>
        </w:rPr>
      </w:pPr>
      <w:r>
        <w:rPr>
          <w:rFonts w:hint="eastAsia" w:ascii="仿宋" w:hAnsi="仿宋" w:eastAsia="仿宋"/>
          <w:sz w:val="30"/>
          <w:szCs w:val="30"/>
          <w:lang w:eastAsia="zh-CN"/>
        </w:rPr>
        <w:t>下浮率及</w:t>
      </w:r>
      <w:r>
        <w:rPr>
          <w:rFonts w:hint="eastAsia" w:ascii="仿宋" w:hAnsi="仿宋" w:eastAsia="仿宋"/>
          <w:sz w:val="30"/>
          <w:szCs w:val="30"/>
        </w:rPr>
        <w:t>报</w:t>
      </w:r>
      <w:r>
        <w:rPr>
          <w:rFonts w:hint="eastAsia" w:ascii="仿宋" w:hAnsi="仿宋" w:eastAsia="仿宋" w:cs="仿宋"/>
          <w:sz w:val="30"/>
          <w:szCs w:val="30"/>
        </w:rPr>
        <w:t>价</w:t>
      </w:r>
      <w:r>
        <w:rPr>
          <w:rFonts w:hint="eastAsia" w:ascii="仿宋" w:hAnsi="仿宋" w:eastAsia="仿宋" w:cs="仿宋"/>
          <w:sz w:val="30"/>
          <w:szCs w:val="30"/>
          <w:lang w:eastAsia="zh-CN"/>
        </w:rPr>
        <w:t>（</w:t>
      </w:r>
      <w:r>
        <w:rPr>
          <w:rFonts w:hint="eastAsia" w:ascii="仿宋" w:hAnsi="仿宋" w:eastAsia="仿宋" w:cs="仿宋"/>
          <w:b w:val="0"/>
          <w:sz w:val="30"/>
          <w:szCs w:val="30"/>
          <w:lang w:val="en-US" w:eastAsia="zh-CN"/>
        </w:rPr>
        <w:t>含税）</w:t>
      </w:r>
    </w:p>
    <w:p>
      <w:pPr>
        <w:spacing w:line="580" w:lineRule="exact"/>
        <w:ind w:firstLine="0" w:firstLineChars="0"/>
        <w:rPr>
          <w:rFonts w:hint="eastAsia" w:ascii="仿宋" w:hAnsi="仿宋" w:eastAsia="仿宋"/>
          <w:sz w:val="30"/>
          <w:szCs w:val="30"/>
          <w:lang w:val="en-US" w:eastAsia="zh-CN"/>
        </w:rPr>
      </w:pPr>
    </w:p>
    <w:p>
      <w:pPr>
        <w:spacing w:line="580" w:lineRule="exact"/>
        <w:ind w:firstLine="0" w:firstLineChars="0"/>
        <w:rPr>
          <w:rFonts w:hint="eastAsia" w:ascii="仿宋" w:hAnsi="仿宋" w:eastAsia="仿宋"/>
          <w:sz w:val="30"/>
          <w:szCs w:val="30"/>
          <w:lang w:val="en-US" w:eastAsia="zh-CN"/>
        </w:rPr>
      </w:pPr>
    </w:p>
    <w:p>
      <w:pPr>
        <w:pStyle w:val="8"/>
        <w:ind w:left="0" w:leftChars="0" w:firstLine="0" w:firstLineChars="0"/>
        <w:rPr>
          <w:rFonts w:hint="default"/>
          <w:lang w:val="en-US" w:eastAsia="zh-CN"/>
        </w:rPr>
      </w:pPr>
    </w:p>
    <w:p>
      <w:pPr>
        <w:spacing w:line="580" w:lineRule="exact"/>
        <w:ind w:firstLine="0" w:firstLineChars="0"/>
        <w:rPr>
          <w:rFonts w:hint="eastAsia" w:ascii="仿宋" w:hAnsi="仿宋" w:eastAsia="仿宋"/>
          <w:sz w:val="30"/>
          <w:szCs w:val="30"/>
          <w:lang w:val="en-US" w:eastAsia="zh-CN"/>
        </w:rPr>
      </w:pPr>
    </w:p>
    <w:tbl>
      <w:tblPr>
        <w:tblStyle w:val="10"/>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815"/>
        <w:gridCol w:w="1020"/>
        <w:gridCol w:w="1245"/>
        <w:gridCol w:w="855"/>
        <w:gridCol w:w="1065"/>
        <w:gridCol w:w="246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0"/>
            <w:vAlign w:val="center"/>
          </w:tcPr>
          <w:p>
            <w:pPr>
              <w:spacing w:line="58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1815" w:type="dxa"/>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项目</w:t>
            </w:r>
          </w:p>
        </w:tc>
        <w:tc>
          <w:tcPr>
            <w:tcW w:w="1020" w:type="dxa"/>
            <w:noWrap w:val="0"/>
            <w:vAlign w:val="center"/>
          </w:tcPr>
          <w:p>
            <w:pPr>
              <w:spacing w:line="58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类别</w:t>
            </w:r>
          </w:p>
          <w:p>
            <w:pPr>
              <w:spacing w:line="580" w:lineRule="exact"/>
              <w:jc w:val="center"/>
              <w:rPr>
                <w:rFonts w:hint="default" w:ascii="仿宋" w:hAnsi="仿宋" w:eastAsia="仿宋"/>
                <w:sz w:val="24"/>
                <w:szCs w:val="24"/>
                <w:vertAlign w:val="baseline"/>
                <w:lang w:val="en-US" w:eastAsia="zh-CN"/>
              </w:rPr>
            </w:pPr>
          </w:p>
        </w:tc>
        <w:tc>
          <w:tcPr>
            <w:tcW w:w="1245" w:type="dxa"/>
            <w:noWrap w:val="0"/>
            <w:vAlign w:val="center"/>
          </w:tcPr>
          <w:p>
            <w:pPr>
              <w:spacing w:line="58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收费基数（万元）</w:t>
            </w:r>
          </w:p>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①</w:t>
            </w:r>
          </w:p>
        </w:tc>
        <w:tc>
          <w:tcPr>
            <w:tcW w:w="855" w:type="dxa"/>
            <w:noWrap w:val="0"/>
            <w:vAlign w:val="center"/>
          </w:tcPr>
          <w:p>
            <w:pPr>
              <w:spacing w:line="58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基准费率（</w:t>
            </w:r>
            <w:r>
              <w:rPr>
                <w:rFonts w:hint="eastAsia" w:ascii="仿宋" w:hAnsi="仿宋" w:eastAsia="仿宋"/>
                <w:sz w:val="24"/>
                <w:szCs w:val="24"/>
              </w:rPr>
              <w:t>‰</w:t>
            </w:r>
            <w:r>
              <w:rPr>
                <w:rFonts w:hint="eastAsia" w:ascii="仿宋" w:hAnsi="仿宋" w:eastAsia="仿宋"/>
                <w:sz w:val="24"/>
                <w:szCs w:val="24"/>
                <w:vertAlign w:val="baseline"/>
                <w:lang w:val="en-US" w:eastAsia="zh-CN"/>
              </w:rPr>
              <w:t>）</w:t>
            </w:r>
          </w:p>
          <w:p>
            <w:pPr>
              <w:spacing w:line="58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②</w:t>
            </w:r>
          </w:p>
        </w:tc>
        <w:tc>
          <w:tcPr>
            <w:tcW w:w="1065" w:type="dxa"/>
            <w:noWrap w:val="0"/>
            <w:vAlign w:val="center"/>
          </w:tcPr>
          <w:p>
            <w:pPr>
              <w:spacing w:line="58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投报下浮率</w:t>
            </w:r>
          </w:p>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③</w:t>
            </w:r>
          </w:p>
        </w:tc>
        <w:tc>
          <w:tcPr>
            <w:tcW w:w="2460" w:type="dxa"/>
            <w:noWrap w:val="0"/>
            <w:vAlign w:val="center"/>
          </w:tcPr>
          <w:p>
            <w:pPr>
              <w:spacing w:line="58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报价小计</w:t>
            </w:r>
          </w:p>
          <w:p>
            <w:pPr>
              <w:spacing w:line="58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④=①*②*(1-③)</w:t>
            </w:r>
          </w:p>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(单位元，保留整数)</w:t>
            </w:r>
          </w:p>
        </w:tc>
        <w:tc>
          <w:tcPr>
            <w:tcW w:w="736" w:type="dxa"/>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vMerge w:val="restart"/>
            <w:noWrap w:val="0"/>
            <w:vAlign w:val="center"/>
          </w:tcPr>
          <w:p>
            <w:pPr>
              <w:spacing w:line="58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815" w:type="dxa"/>
            <w:vMerge w:val="restart"/>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lang w:val="en-US" w:eastAsia="zh-CN"/>
              </w:rPr>
              <w:t>南平武夷集团商务写字楼项目</w:t>
            </w:r>
          </w:p>
        </w:tc>
        <w:tc>
          <w:tcPr>
            <w:tcW w:w="1020" w:type="dxa"/>
            <w:noWrap w:val="0"/>
            <w:vAlign w:val="center"/>
          </w:tcPr>
          <w:p>
            <w:pPr>
              <w:spacing w:line="580" w:lineRule="exact"/>
              <w:jc w:val="center"/>
              <w:rPr>
                <w:rFonts w:hint="eastAsia" w:ascii="仿宋" w:hAnsi="仿宋" w:eastAsia="仿宋"/>
                <w:kern w:val="2"/>
                <w:sz w:val="24"/>
                <w:szCs w:val="24"/>
                <w:vertAlign w:val="baseline"/>
                <w:lang w:val="en-US" w:eastAsia="zh-CN" w:bidi="ar-SA"/>
              </w:rPr>
            </w:pPr>
            <w:r>
              <w:rPr>
                <w:rFonts w:hint="eastAsia" w:ascii="仿宋" w:hAnsi="仿宋" w:eastAsia="仿宋"/>
                <w:sz w:val="24"/>
                <w:szCs w:val="24"/>
                <w:vertAlign w:val="baseline"/>
                <w:lang w:val="en-US" w:eastAsia="zh-CN"/>
              </w:rPr>
              <w:t>土建工程预算审核</w:t>
            </w:r>
            <w:bookmarkStart w:id="3" w:name="_GoBack"/>
            <w:bookmarkEnd w:id="3"/>
          </w:p>
        </w:tc>
        <w:tc>
          <w:tcPr>
            <w:tcW w:w="1245" w:type="dxa"/>
            <w:noWrap w:val="0"/>
            <w:vAlign w:val="center"/>
          </w:tcPr>
          <w:p>
            <w:pPr>
              <w:spacing w:line="580" w:lineRule="exact"/>
              <w:jc w:val="center"/>
              <w:rPr>
                <w:rFonts w:hint="default" w:ascii="仿宋" w:hAnsi="仿宋" w:eastAsia="仿宋" w:cs="Times New Roman"/>
                <w:kern w:val="2"/>
                <w:sz w:val="24"/>
                <w:szCs w:val="24"/>
                <w:vertAlign w:val="baseline"/>
                <w:lang w:val="en-US" w:eastAsia="zh-CN" w:bidi="ar-SA"/>
              </w:rPr>
            </w:pPr>
            <w:r>
              <w:rPr>
                <w:rFonts w:hint="eastAsia" w:ascii="仿宋" w:hAnsi="仿宋" w:eastAsia="仿宋" w:cs="Times New Roman"/>
                <w:sz w:val="24"/>
                <w:szCs w:val="24"/>
                <w:vertAlign w:val="baseline"/>
                <w:lang w:val="en-US" w:eastAsia="zh-CN"/>
              </w:rPr>
              <w:t>11000</w:t>
            </w:r>
          </w:p>
        </w:tc>
        <w:tc>
          <w:tcPr>
            <w:tcW w:w="855" w:type="dxa"/>
            <w:noWrap w:val="0"/>
            <w:vAlign w:val="center"/>
          </w:tcPr>
          <w:p>
            <w:pPr>
              <w:spacing w:line="580" w:lineRule="exact"/>
              <w:jc w:val="center"/>
              <w:rPr>
                <w:rFonts w:hint="eastAsia" w:ascii="仿宋" w:hAnsi="仿宋" w:eastAsia="仿宋"/>
                <w:kern w:val="2"/>
                <w:sz w:val="24"/>
                <w:szCs w:val="24"/>
                <w:vertAlign w:val="baseline"/>
                <w:lang w:val="en-US" w:eastAsia="zh-CN" w:bidi="ar-SA"/>
              </w:rPr>
            </w:pPr>
            <w:r>
              <w:rPr>
                <w:rFonts w:hint="eastAsia" w:ascii="仿宋" w:hAnsi="仿宋" w:eastAsia="仿宋"/>
                <w:sz w:val="24"/>
                <w:szCs w:val="24"/>
                <w:vertAlign w:val="baseline"/>
                <w:lang w:val="en-US" w:eastAsia="zh-CN"/>
              </w:rPr>
              <w:t>3.2</w:t>
            </w:r>
          </w:p>
        </w:tc>
        <w:tc>
          <w:tcPr>
            <w:tcW w:w="1065" w:type="dxa"/>
            <w:vMerge w:val="restart"/>
            <w:noWrap w:val="0"/>
            <w:vAlign w:val="center"/>
          </w:tcPr>
          <w:p>
            <w:pPr>
              <w:spacing w:line="580" w:lineRule="exact"/>
              <w:jc w:val="center"/>
              <w:rPr>
                <w:rFonts w:hint="eastAsia" w:ascii="仿宋" w:hAnsi="仿宋" w:eastAsia="仿宋"/>
                <w:sz w:val="24"/>
                <w:szCs w:val="24"/>
                <w:vertAlign w:val="baseline"/>
                <w:lang w:val="en-US" w:eastAsia="zh-CN"/>
              </w:rPr>
            </w:pPr>
          </w:p>
        </w:tc>
        <w:tc>
          <w:tcPr>
            <w:tcW w:w="2460" w:type="dxa"/>
            <w:noWrap w:val="0"/>
            <w:vAlign w:val="center"/>
          </w:tcPr>
          <w:p>
            <w:pPr>
              <w:spacing w:line="580" w:lineRule="exact"/>
              <w:jc w:val="center"/>
              <w:rPr>
                <w:rFonts w:hint="eastAsia" w:ascii="仿宋" w:hAnsi="仿宋" w:eastAsia="仿宋"/>
                <w:sz w:val="24"/>
                <w:szCs w:val="24"/>
                <w:vertAlign w:val="baseline"/>
                <w:lang w:val="en-US" w:eastAsia="zh-CN"/>
              </w:rPr>
            </w:pPr>
          </w:p>
        </w:tc>
        <w:tc>
          <w:tcPr>
            <w:tcW w:w="736" w:type="dxa"/>
            <w:vMerge w:val="restart"/>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③≥60%,且1、2、3、4项目数值相等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vMerge w:val="continue"/>
            <w:tcBorders/>
            <w:noWrap w:val="0"/>
            <w:vAlign w:val="center"/>
          </w:tcPr>
          <w:p>
            <w:pPr>
              <w:spacing w:line="580" w:lineRule="exact"/>
              <w:jc w:val="center"/>
              <w:rPr>
                <w:rFonts w:hint="eastAsia" w:ascii="仿宋" w:hAnsi="仿宋" w:eastAsia="仿宋"/>
                <w:sz w:val="24"/>
                <w:szCs w:val="24"/>
                <w:vertAlign w:val="baseline"/>
                <w:lang w:val="en-US" w:eastAsia="zh-CN"/>
              </w:rPr>
            </w:pPr>
          </w:p>
        </w:tc>
        <w:tc>
          <w:tcPr>
            <w:tcW w:w="1815" w:type="dxa"/>
            <w:vMerge w:val="continue"/>
            <w:tcBorders/>
            <w:noWrap w:val="0"/>
            <w:vAlign w:val="center"/>
          </w:tcPr>
          <w:p>
            <w:pPr>
              <w:spacing w:line="580" w:lineRule="exact"/>
              <w:jc w:val="center"/>
              <w:rPr>
                <w:rFonts w:hint="default" w:ascii="仿宋" w:hAnsi="仿宋" w:eastAsia="仿宋"/>
                <w:sz w:val="24"/>
                <w:szCs w:val="24"/>
                <w:vertAlign w:val="baseline"/>
                <w:lang w:val="en-US" w:eastAsia="zh-CN"/>
              </w:rPr>
            </w:pPr>
          </w:p>
        </w:tc>
        <w:tc>
          <w:tcPr>
            <w:tcW w:w="1020" w:type="dxa"/>
            <w:noWrap w:val="0"/>
            <w:vAlign w:val="center"/>
          </w:tcPr>
          <w:p>
            <w:pPr>
              <w:spacing w:line="58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二次装修预算审核</w:t>
            </w:r>
          </w:p>
        </w:tc>
        <w:tc>
          <w:tcPr>
            <w:tcW w:w="1245" w:type="dxa"/>
            <w:noWrap w:val="0"/>
            <w:vAlign w:val="center"/>
          </w:tcPr>
          <w:p>
            <w:pPr>
              <w:spacing w:line="580" w:lineRule="exact"/>
              <w:jc w:val="center"/>
              <w:rPr>
                <w:rFonts w:hint="default"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3000</w:t>
            </w:r>
          </w:p>
        </w:tc>
        <w:tc>
          <w:tcPr>
            <w:tcW w:w="855" w:type="dxa"/>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4.3</w:t>
            </w:r>
          </w:p>
        </w:tc>
        <w:tc>
          <w:tcPr>
            <w:tcW w:w="1065" w:type="dxa"/>
            <w:vMerge w:val="continue"/>
            <w:tcBorders/>
            <w:noWrap w:val="0"/>
            <w:vAlign w:val="center"/>
          </w:tcPr>
          <w:p>
            <w:pPr>
              <w:spacing w:line="580" w:lineRule="exact"/>
              <w:jc w:val="center"/>
              <w:rPr>
                <w:rFonts w:hint="eastAsia" w:ascii="仿宋" w:hAnsi="仿宋" w:eastAsia="仿宋"/>
                <w:sz w:val="24"/>
                <w:szCs w:val="24"/>
                <w:vertAlign w:val="baseline"/>
                <w:lang w:val="en-US" w:eastAsia="zh-CN"/>
              </w:rPr>
            </w:pPr>
          </w:p>
        </w:tc>
        <w:tc>
          <w:tcPr>
            <w:tcW w:w="2460" w:type="dxa"/>
            <w:noWrap w:val="0"/>
            <w:vAlign w:val="center"/>
          </w:tcPr>
          <w:p>
            <w:pPr>
              <w:spacing w:line="580" w:lineRule="exact"/>
              <w:jc w:val="center"/>
              <w:rPr>
                <w:rFonts w:hint="eastAsia" w:ascii="仿宋" w:hAnsi="仿宋" w:eastAsia="仿宋"/>
                <w:sz w:val="24"/>
                <w:szCs w:val="24"/>
                <w:vertAlign w:val="baseline"/>
                <w:lang w:val="en-US" w:eastAsia="zh-CN"/>
              </w:rPr>
            </w:pPr>
          </w:p>
        </w:tc>
        <w:tc>
          <w:tcPr>
            <w:tcW w:w="736" w:type="dxa"/>
            <w:vMerge w:val="continue"/>
            <w:tcBorders/>
            <w:noWrap w:val="0"/>
            <w:vAlign w:val="center"/>
          </w:tcPr>
          <w:p>
            <w:pPr>
              <w:spacing w:line="580" w:lineRule="exact"/>
              <w:jc w:val="center"/>
              <w:rPr>
                <w:rFonts w:hint="eastAsia" w:ascii="仿宋" w:hAnsi="仿宋" w:eastAsia="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tcBorders/>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1815" w:type="dxa"/>
            <w:tcBorders/>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lang w:val="en-US" w:eastAsia="zh-CN"/>
              </w:rPr>
              <w:t>南平市实验幼儿园武夷新区分校一、分校二装修工程</w:t>
            </w:r>
          </w:p>
        </w:tc>
        <w:tc>
          <w:tcPr>
            <w:tcW w:w="1020" w:type="dxa"/>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lang w:val="en-US" w:eastAsia="zh-CN"/>
              </w:rPr>
              <w:t>二次装修工程结算审核</w:t>
            </w:r>
          </w:p>
        </w:tc>
        <w:tc>
          <w:tcPr>
            <w:tcW w:w="1245" w:type="dxa"/>
            <w:noWrap w:val="0"/>
            <w:vAlign w:val="center"/>
          </w:tcPr>
          <w:p>
            <w:pPr>
              <w:spacing w:line="580" w:lineRule="exact"/>
              <w:jc w:val="center"/>
              <w:rPr>
                <w:rFonts w:hint="default"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500</w:t>
            </w:r>
          </w:p>
        </w:tc>
        <w:tc>
          <w:tcPr>
            <w:tcW w:w="855" w:type="dxa"/>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5.3</w:t>
            </w:r>
          </w:p>
        </w:tc>
        <w:tc>
          <w:tcPr>
            <w:tcW w:w="1065" w:type="dxa"/>
            <w:vMerge w:val="continue"/>
            <w:tcBorders/>
            <w:noWrap w:val="0"/>
            <w:vAlign w:val="center"/>
          </w:tcPr>
          <w:p>
            <w:pPr>
              <w:spacing w:line="580" w:lineRule="exact"/>
              <w:jc w:val="center"/>
              <w:rPr>
                <w:rFonts w:hint="eastAsia" w:ascii="仿宋" w:hAnsi="仿宋" w:eastAsia="仿宋"/>
                <w:sz w:val="24"/>
                <w:szCs w:val="24"/>
                <w:vertAlign w:val="baseline"/>
                <w:lang w:val="en-US" w:eastAsia="zh-CN"/>
              </w:rPr>
            </w:pPr>
          </w:p>
        </w:tc>
        <w:tc>
          <w:tcPr>
            <w:tcW w:w="2460" w:type="dxa"/>
            <w:noWrap w:val="0"/>
            <w:vAlign w:val="center"/>
          </w:tcPr>
          <w:p>
            <w:pPr>
              <w:spacing w:line="580" w:lineRule="exact"/>
              <w:jc w:val="center"/>
              <w:rPr>
                <w:rFonts w:hint="eastAsia" w:ascii="仿宋" w:hAnsi="仿宋" w:eastAsia="仿宋"/>
                <w:sz w:val="24"/>
                <w:szCs w:val="24"/>
                <w:vertAlign w:val="baseline"/>
                <w:lang w:val="en-US" w:eastAsia="zh-CN"/>
              </w:rPr>
            </w:pPr>
          </w:p>
        </w:tc>
        <w:tc>
          <w:tcPr>
            <w:tcW w:w="736" w:type="dxa"/>
            <w:vMerge w:val="continue"/>
            <w:tcBorders/>
            <w:noWrap w:val="0"/>
            <w:vAlign w:val="center"/>
          </w:tcPr>
          <w:p>
            <w:pPr>
              <w:spacing w:line="580" w:lineRule="exact"/>
              <w:jc w:val="center"/>
              <w:rPr>
                <w:rFonts w:hint="eastAsia" w:ascii="仿宋" w:hAnsi="仿宋" w:eastAsia="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tcBorders/>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1815" w:type="dxa"/>
            <w:tcBorders/>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lang w:val="en-US" w:eastAsia="zh-CN"/>
              </w:rPr>
              <w:t>建阳经济开发区精细化工产业园项目电力建设</w:t>
            </w:r>
          </w:p>
        </w:tc>
        <w:tc>
          <w:tcPr>
            <w:tcW w:w="1020" w:type="dxa"/>
            <w:noWrap w:val="0"/>
            <w:vAlign w:val="center"/>
          </w:tcPr>
          <w:p>
            <w:pPr>
              <w:spacing w:line="580" w:lineRule="exact"/>
              <w:jc w:val="center"/>
              <w:rPr>
                <w:rFonts w:hint="eastAsia" w:ascii="仿宋" w:hAnsi="仿宋" w:eastAsia="仿宋"/>
                <w:sz w:val="24"/>
                <w:szCs w:val="24"/>
                <w:vertAlign w:val="baseline"/>
                <w:lang w:val="en-US" w:eastAsia="zh-CN"/>
              </w:rPr>
            </w:pPr>
            <w:r>
              <w:rPr>
                <w:rFonts w:hint="eastAsia" w:ascii="仿宋" w:hAnsi="仿宋" w:eastAsia="仿宋"/>
                <w:sz w:val="24"/>
                <w:szCs w:val="24"/>
                <w:lang w:val="en-US" w:eastAsia="zh-CN"/>
              </w:rPr>
              <w:t>结算审核</w:t>
            </w:r>
          </w:p>
        </w:tc>
        <w:tc>
          <w:tcPr>
            <w:tcW w:w="1245" w:type="dxa"/>
            <w:noWrap w:val="0"/>
            <w:vAlign w:val="center"/>
          </w:tcPr>
          <w:p>
            <w:pPr>
              <w:spacing w:line="580" w:lineRule="exact"/>
              <w:jc w:val="center"/>
              <w:rPr>
                <w:rFonts w:hint="default"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180</w:t>
            </w:r>
          </w:p>
        </w:tc>
        <w:tc>
          <w:tcPr>
            <w:tcW w:w="855" w:type="dxa"/>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4.8</w:t>
            </w:r>
          </w:p>
        </w:tc>
        <w:tc>
          <w:tcPr>
            <w:tcW w:w="1065" w:type="dxa"/>
            <w:vMerge w:val="continue"/>
            <w:tcBorders/>
            <w:noWrap w:val="0"/>
            <w:vAlign w:val="center"/>
          </w:tcPr>
          <w:p>
            <w:pPr>
              <w:spacing w:line="580" w:lineRule="exact"/>
              <w:jc w:val="center"/>
              <w:rPr>
                <w:rFonts w:hint="eastAsia" w:ascii="仿宋" w:hAnsi="仿宋" w:eastAsia="仿宋"/>
                <w:sz w:val="24"/>
                <w:szCs w:val="24"/>
                <w:vertAlign w:val="baseline"/>
                <w:lang w:val="en-US" w:eastAsia="zh-CN"/>
              </w:rPr>
            </w:pPr>
          </w:p>
        </w:tc>
        <w:tc>
          <w:tcPr>
            <w:tcW w:w="2460" w:type="dxa"/>
            <w:noWrap w:val="0"/>
            <w:vAlign w:val="center"/>
          </w:tcPr>
          <w:p>
            <w:pPr>
              <w:spacing w:line="580" w:lineRule="exact"/>
              <w:jc w:val="center"/>
              <w:rPr>
                <w:rFonts w:hint="eastAsia" w:ascii="仿宋" w:hAnsi="仿宋" w:eastAsia="仿宋"/>
                <w:sz w:val="24"/>
                <w:szCs w:val="24"/>
                <w:vertAlign w:val="baseline"/>
                <w:lang w:val="en-US" w:eastAsia="zh-CN"/>
              </w:rPr>
            </w:pPr>
          </w:p>
        </w:tc>
        <w:tc>
          <w:tcPr>
            <w:tcW w:w="736" w:type="dxa"/>
            <w:vMerge w:val="continue"/>
            <w:tcBorders/>
            <w:noWrap w:val="0"/>
            <w:vAlign w:val="center"/>
          </w:tcPr>
          <w:p>
            <w:pPr>
              <w:spacing w:line="580" w:lineRule="exact"/>
              <w:jc w:val="center"/>
              <w:rPr>
                <w:rFonts w:hint="eastAsia" w:ascii="仿宋" w:hAnsi="仿宋" w:eastAsia="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tcBorders/>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4</w:t>
            </w:r>
          </w:p>
        </w:tc>
        <w:tc>
          <w:tcPr>
            <w:tcW w:w="1815" w:type="dxa"/>
            <w:tcBorders/>
            <w:noWrap w:val="0"/>
            <w:vAlign w:val="center"/>
          </w:tcPr>
          <w:p>
            <w:pPr>
              <w:spacing w:line="58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建阳经济开发区精细化工产业园供水工程</w:t>
            </w:r>
          </w:p>
        </w:tc>
        <w:tc>
          <w:tcPr>
            <w:tcW w:w="1020" w:type="dxa"/>
            <w:noWrap w:val="0"/>
            <w:vAlign w:val="center"/>
          </w:tcPr>
          <w:p>
            <w:pPr>
              <w:spacing w:line="58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预算审核</w:t>
            </w:r>
          </w:p>
        </w:tc>
        <w:tc>
          <w:tcPr>
            <w:tcW w:w="1245" w:type="dxa"/>
            <w:noWrap w:val="0"/>
            <w:vAlign w:val="center"/>
          </w:tcPr>
          <w:p>
            <w:pPr>
              <w:spacing w:line="580" w:lineRule="exact"/>
              <w:jc w:val="center"/>
              <w:rPr>
                <w:rFonts w:hint="default" w:ascii="仿宋" w:hAnsi="仿宋" w:eastAsia="仿宋" w:cs="Times New Roman"/>
                <w:sz w:val="24"/>
                <w:szCs w:val="24"/>
                <w:vertAlign w:val="baseline"/>
                <w:lang w:val="en-US" w:eastAsia="zh-CN"/>
              </w:rPr>
            </w:pPr>
            <w:r>
              <w:rPr>
                <w:rFonts w:hint="eastAsia" w:ascii="仿宋" w:hAnsi="仿宋" w:eastAsia="仿宋" w:cs="Times New Roman"/>
                <w:sz w:val="24"/>
                <w:szCs w:val="24"/>
                <w:vertAlign w:val="baseline"/>
                <w:lang w:val="en-US" w:eastAsia="zh-CN"/>
              </w:rPr>
              <w:t>3500</w:t>
            </w:r>
          </w:p>
        </w:tc>
        <w:tc>
          <w:tcPr>
            <w:tcW w:w="855" w:type="dxa"/>
            <w:noWrap w:val="0"/>
            <w:vAlign w:val="center"/>
          </w:tcPr>
          <w:p>
            <w:pPr>
              <w:spacing w:line="580" w:lineRule="exact"/>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4.3</w:t>
            </w:r>
          </w:p>
        </w:tc>
        <w:tc>
          <w:tcPr>
            <w:tcW w:w="1065" w:type="dxa"/>
            <w:vMerge w:val="continue"/>
            <w:tcBorders/>
            <w:noWrap w:val="0"/>
            <w:vAlign w:val="center"/>
          </w:tcPr>
          <w:p>
            <w:pPr>
              <w:spacing w:line="580" w:lineRule="exact"/>
              <w:jc w:val="center"/>
              <w:rPr>
                <w:rFonts w:hint="eastAsia" w:ascii="仿宋" w:hAnsi="仿宋" w:eastAsia="仿宋"/>
                <w:sz w:val="24"/>
                <w:szCs w:val="24"/>
                <w:vertAlign w:val="baseline"/>
                <w:lang w:val="en-US" w:eastAsia="zh-CN"/>
              </w:rPr>
            </w:pPr>
          </w:p>
        </w:tc>
        <w:tc>
          <w:tcPr>
            <w:tcW w:w="2460" w:type="dxa"/>
            <w:noWrap w:val="0"/>
            <w:vAlign w:val="center"/>
          </w:tcPr>
          <w:p>
            <w:pPr>
              <w:spacing w:line="580" w:lineRule="exact"/>
              <w:jc w:val="center"/>
              <w:rPr>
                <w:rFonts w:hint="eastAsia" w:ascii="仿宋" w:hAnsi="仿宋" w:eastAsia="仿宋"/>
                <w:sz w:val="24"/>
                <w:szCs w:val="24"/>
                <w:vertAlign w:val="baseline"/>
                <w:lang w:val="en-US" w:eastAsia="zh-CN"/>
              </w:rPr>
            </w:pPr>
          </w:p>
        </w:tc>
        <w:tc>
          <w:tcPr>
            <w:tcW w:w="736" w:type="dxa"/>
            <w:vMerge w:val="continue"/>
            <w:tcBorders/>
            <w:noWrap w:val="0"/>
            <w:vAlign w:val="center"/>
          </w:tcPr>
          <w:p>
            <w:pPr>
              <w:spacing w:line="580" w:lineRule="exact"/>
              <w:jc w:val="center"/>
              <w:rPr>
                <w:rFonts w:hint="eastAsia" w:ascii="仿宋" w:hAnsi="仿宋" w:eastAsia="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noWrap w:val="0"/>
            <w:vAlign w:val="center"/>
          </w:tcPr>
          <w:p>
            <w:pPr>
              <w:spacing w:line="58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5</w:t>
            </w:r>
          </w:p>
        </w:tc>
        <w:tc>
          <w:tcPr>
            <w:tcW w:w="6000" w:type="dxa"/>
            <w:gridSpan w:val="5"/>
            <w:noWrap w:val="0"/>
            <w:vAlign w:val="center"/>
          </w:tcPr>
          <w:p>
            <w:pPr>
              <w:spacing w:line="580" w:lineRule="exact"/>
              <w:jc w:val="center"/>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合计金额</w:t>
            </w:r>
          </w:p>
        </w:tc>
        <w:tc>
          <w:tcPr>
            <w:tcW w:w="2460" w:type="dxa"/>
            <w:noWrap w:val="0"/>
            <w:vAlign w:val="center"/>
          </w:tcPr>
          <w:p>
            <w:pPr>
              <w:spacing w:line="580" w:lineRule="exact"/>
              <w:rPr>
                <w:rFonts w:hint="default" w:ascii="仿宋" w:hAnsi="仿宋" w:eastAsia="仿宋"/>
                <w:b/>
                <w:bCs/>
                <w:sz w:val="28"/>
                <w:szCs w:val="28"/>
                <w:u w:val="single"/>
                <w:vertAlign w:val="baseline"/>
                <w:lang w:val="en-US" w:eastAsia="zh-CN"/>
              </w:rPr>
            </w:pPr>
            <w:r>
              <w:rPr>
                <w:rFonts w:hint="eastAsia" w:ascii="仿宋" w:hAnsi="仿宋" w:eastAsia="仿宋"/>
                <w:b/>
                <w:bCs/>
                <w:sz w:val="28"/>
                <w:szCs w:val="28"/>
                <w:u w:val="single"/>
                <w:vertAlign w:val="baseline"/>
                <w:lang w:val="en-US" w:eastAsia="zh-CN"/>
              </w:rPr>
              <w:t xml:space="preserve">           元</w:t>
            </w:r>
          </w:p>
        </w:tc>
        <w:tc>
          <w:tcPr>
            <w:tcW w:w="736" w:type="dxa"/>
            <w:noWrap w:val="0"/>
            <w:vAlign w:val="center"/>
          </w:tcPr>
          <w:p>
            <w:pPr>
              <w:spacing w:line="580" w:lineRule="exact"/>
              <w:rPr>
                <w:rFonts w:hint="eastAsia" w:ascii="仿宋" w:hAnsi="仿宋" w:eastAsia="仿宋"/>
                <w:b/>
                <w:bCs/>
                <w:sz w:val="28"/>
                <w:szCs w:val="28"/>
                <w:vertAlign w:val="baseline"/>
                <w:lang w:val="en-US" w:eastAsia="zh-CN"/>
              </w:rPr>
            </w:pPr>
          </w:p>
        </w:tc>
      </w:tr>
    </w:tbl>
    <w:p>
      <w:pPr>
        <w:pStyle w:val="16"/>
        <w:spacing w:before="0" w:beforeAutospacing="0" w:after="0" w:afterAutospacing="0" w:line="420" w:lineRule="exact"/>
        <w:jc w:val="both"/>
        <w:rPr>
          <w:rStyle w:val="17"/>
          <w:rFonts w:hint="eastAsia" w:ascii="黑体" w:hAnsi="宋体" w:eastAsia="黑体"/>
          <w:bCs/>
          <w:color w:val="auto"/>
          <w:sz w:val="21"/>
          <w:szCs w:val="21"/>
          <w:highlight w:val="none"/>
          <w:lang w:val="en-US" w:eastAsia="zh-CN"/>
        </w:rPr>
      </w:pPr>
      <w:r>
        <w:rPr>
          <w:rStyle w:val="17"/>
          <w:rFonts w:hint="eastAsia" w:ascii="黑体" w:hAnsi="宋体" w:eastAsia="黑体"/>
          <w:bCs/>
          <w:color w:val="auto"/>
          <w:sz w:val="21"/>
          <w:szCs w:val="21"/>
          <w:highlight w:val="none"/>
          <w:lang w:val="en-US" w:eastAsia="zh-CN"/>
        </w:rPr>
        <w:t>注：报价精确到整数元，若报价在限价范围内，未精确到整数的按四舍五入精确到整数进行修正；如合计金额与报价小计金额计算不一致，以填报合计金额的报价为准。</w:t>
      </w:r>
    </w:p>
    <w:p>
      <w:pPr>
        <w:pStyle w:val="16"/>
        <w:spacing w:before="0" w:beforeAutospacing="0" w:after="0" w:afterAutospacing="0" w:line="420" w:lineRule="exact"/>
        <w:ind w:firstLine="640" w:firstLineChars="200"/>
        <w:jc w:val="center"/>
        <w:rPr>
          <w:rStyle w:val="17"/>
          <w:rFonts w:hint="default" w:ascii="黑体" w:eastAsia="黑体"/>
          <w:bCs/>
          <w:color w:val="auto"/>
          <w:highlight w:val="none"/>
        </w:rPr>
      </w:pPr>
      <w:r>
        <w:rPr>
          <w:rStyle w:val="17"/>
          <w:rFonts w:hint="default" w:ascii="黑体" w:eastAsia="黑体"/>
          <w:bCs/>
          <w:color w:val="auto"/>
          <w:highlight w:val="none"/>
        </w:rPr>
        <w:t>福建省物价局关于规范建设工程造价</w:t>
      </w:r>
    </w:p>
    <w:p>
      <w:pPr>
        <w:pStyle w:val="16"/>
        <w:spacing w:before="0" w:beforeAutospacing="0" w:after="0" w:afterAutospacing="0" w:line="420" w:lineRule="exact"/>
        <w:jc w:val="center"/>
        <w:rPr>
          <w:rStyle w:val="17"/>
          <w:rFonts w:hint="default" w:ascii="黑体" w:eastAsia="黑体"/>
          <w:bCs/>
          <w:color w:val="auto"/>
          <w:highlight w:val="none"/>
        </w:rPr>
      </w:pPr>
      <w:r>
        <w:rPr>
          <w:rStyle w:val="17"/>
          <w:rFonts w:hint="eastAsia" w:ascii="黑体" w:eastAsia="黑体"/>
          <w:bCs/>
          <w:color w:val="auto"/>
          <w:highlight w:val="none"/>
          <w:lang w:val="en-US" w:eastAsia="zh-CN"/>
        </w:rPr>
        <w:t xml:space="preserve">   </w:t>
      </w:r>
      <w:r>
        <w:rPr>
          <w:rStyle w:val="17"/>
          <w:rFonts w:hint="default" w:ascii="黑体" w:eastAsia="黑体"/>
          <w:bCs/>
          <w:color w:val="auto"/>
          <w:highlight w:val="none"/>
        </w:rPr>
        <w:t>咨询服务收费有关问题的通知</w:t>
      </w:r>
    </w:p>
    <w:p>
      <w:pPr>
        <w:pStyle w:val="16"/>
        <w:spacing w:before="0" w:beforeAutospacing="0" w:after="0" w:afterAutospacing="0" w:line="420" w:lineRule="exact"/>
        <w:jc w:val="center"/>
        <w:rPr>
          <w:rStyle w:val="17"/>
          <w:rFonts w:hint="default" w:ascii="黑体" w:eastAsia="黑体"/>
          <w:bCs/>
          <w:color w:val="auto"/>
          <w:highlight w:val="none"/>
        </w:rPr>
      </w:pPr>
      <w:r>
        <w:rPr>
          <w:rStyle w:val="17"/>
          <w:rFonts w:hint="eastAsia" w:ascii="黑体" w:eastAsia="黑体"/>
          <w:bCs/>
          <w:color w:val="auto"/>
          <w:highlight w:val="none"/>
          <w:lang w:val="en-US" w:eastAsia="zh-CN"/>
        </w:rPr>
        <w:t xml:space="preserve">  </w:t>
      </w:r>
      <w:r>
        <w:rPr>
          <w:rStyle w:val="17"/>
          <w:rFonts w:hint="default" w:ascii="黑体" w:eastAsia="黑体"/>
          <w:bCs/>
          <w:color w:val="auto"/>
          <w:highlight w:val="none"/>
        </w:rPr>
        <w:t>闽价[2002]房457号</w:t>
      </w:r>
    </w:p>
    <w:tbl>
      <w:tblPr>
        <w:tblStyle w:val="9"/>
        <w:tblW w:w="9270"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41"/>
        <w:gridCol w:w="1024"/>
        <w:gridCol w:w="1245"/>
        <w:gridCol w:w="1410"/>
        <w:gridCol w:w="1140"/>
        <w:gridCol w:w="1470"/>
        <w:gridCol w:w="1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67" w:hRule="atLeast"/>
          <w:tblCellSpacing w:w="0" w:type="dxa"/>
        </w:trPr>
        <w:tc>
          <w:tcPr>
            <w:tcW w:w="256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b/>
                <w:bCs/>
                <w:color w:val="auto"/>
                <w:kern w:val="0"/>
                <w:sz w:val="18"/>
                <w:szCs w:val="18"/>
                <w:highlight w:val="none"/>
              </w:rPr>
              <w:t>收　费　项　目</w:t>
            </w:r>
          </w:p>
        </w:tc>
        <w:tc>
          <w:tcPr>
            <w:tcW w:w="12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b/>
                <w:bCs/>
                <w:color w:val="auto"/>
                <w:kern w:val="0"/>
                <w:sz w:val="18"/>
                <w:szCs w:val="18"/>
                <w:highlight w:val="none"/>
              </w:rPr>
              <w:t>收费基数</w:t>
            </w:r>
          </w:p>
        </w:tc>
        <w:tc>
          <w:tcPr>
            <w:tcW w:w="54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b/>
                <w:bCs/>
                <w:color w:val="auto"/>
                <w:kern w:val="0"/>
                <w:sz w:val="18"/>
                <w:szCs w:val="18"/>
                <w:highlight w:val="none"/>
              </w:rPr>
              <w:t>基准费率（</w:t>
            </w:r>
            <w:r>
              <w:rPr>
                <w:rFonts w:cs="宋体"/>
                <w:b/>
                <w:bCs/>
                <w:color w:val="auto"/>
                <w:kern w:val="0"/>
                <w:sz w:val="18"/>
                <w:szCs w:val="18"/>
                <w:highlight w:val="none"/>
              </w:rPr>
              <w:t>‰</w:t>
            </w:r>
            <w:r>
              <w:rPr>
                <w:rFonts w:hAnsi="宋体" w:cs="宋体"/>
                <w:b/>
                <w:bCs/>
                <w:color w:val="auto"/>
                <w:kern w:val="0"/>
                <w:sz w:val="18"/>
                <w:szCs w:val="18"/>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26" w:hRule="atLeast"/>
          <w:tblCellSpacing w:w="0" w:type="dxa"/>
        </w:trPr>
        <w:tc>
          <w:tcPr>
            <w:tcW w:w="25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p>
        </w:tc>
        <w:tc>
          <w:tcPr>
            <w:tcW w:w="12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500</w:t>
            </w:r>
            <w:r>
              <w:rPr>
                <w:rFonts w:hAnsi="宋体" w:cs="宋体"/>
                <w:color w:val="auto"/>
                <w:kern w:val="0"/>
                <w:sz w:val="18"/>
                <w:szCs w:val="18"/>
                <w:highlight w:val="none"/>
              </w:rPr>
              <w:t>万元以内</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eastAsia="宋体" w:cs="宋体"/>
                <w:color w:val="auto"/>
                <w:kern w:val="0"/>
                <w:sz w:val="18"/>
                <w:szCs w:val="18"/>
                <w:highlight w:val="none"/>
                <w:lang w:eastAsia="zh-CN"/>
              </w:rPr>
            </w:pPr>
            <w:r>
              <w:rPr>
                <w:rFonts w:cs="宋体"/>
                <w:color w:val="auto"/>
                <w:kern w:val="0"/>
                <w:sz w:val="18"/>
                <w:szCs w:val="18"/>
                <w:highlight w:val="none"/>
              </w:rPr>
              <w:t>501</w:t>
            </w:r>
            <w:r>
              <w:rPr>
                <w:rFonts w:hAnsi="宋体" w:cs="宋体"/>
                <w:color w:val="auto"/>
                <w:kern w:val="0"/>
                <w:sz w:val="18"/>
                <w:szCs w:val="18"/>
                <w:highlight w:val="none"/>
              </w:rPr>
              <w:t>－</w:t>
            </w:r>
            <w:r>
              <w:rPr>
                <w:rFonts w:cs="宋体"/>
                <w:color w:val="auto"/>
                <w:kern w:val="0"/>
                <w:sz w:val="18"/>
                <w:szCs w:val="18"/>
                <w:highlight w:val="none"/>
              </w:rPr>
              <w:t>1000</w:t>
            </w:r>
          </w:p>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万元</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cs="宋体"/>
                <w:color w:val="auto"/>
                <w:kern w:val="0"/>
                <w:sz w:val="18"/>
                <w:szCs w:val="18"/>
                <w:highlight w:val="none"/>
              </w:rPr>
            </w:pPr>
            <w:r>
              <w:rPr>
                <w:rFonts w:cs="宋体"/>
                <w:color w:val="auto"/>
                <w:kern w:val="0"/>
                <w:sz w:val="18"/>
                <w:szCs w:val="18"/>
                <w:highlight w:val="none"/>
              </w:rPr>
              <w:t>1001</w:t>
            </w:r>
            <w:r>
              <w:rPr>
                <w:rFonts w:hAnsi="宋体" w:cs="宋体"/>
                <w:color w:val="auto"/>
                <w:kern w:val="0"/>
                <w:sz w:val="18"/>
                <w:szCs w:val="18"/>
                <w:highlight w:val="none"/>
              </w:rPr>
              <w:t>－</w:t>
            </w:r>
            <w:r>
              <w:rPr>
                <w:rFonts w:cs="宋体"/>
                <w:color w:val="auto"/>
                <w:kern w:val="0"/>
                <w:sz w:val="18"/>
                <w:szCs w:val="18"/>
                <w:highlight w:val="none"/>
              </w:rPr>
              <w:t>3000</w:t>
            </w:r>
          </w:p>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万元</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3001</w:t>
            </w:r>
            <w:r>
              <w:rPr>
                <w:rFonts w:hAnsi="宋体" w:cs="宋体"/>
                <w:color w:val="auto"/>
                <w:kern w:val="0"/>
                <w:sz w:val="18"/>
                <w:szCs w:val="18"/>
                <w:highlight w:val="none"/>
              </w:rPr>
              <w:t>万元以上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7" w:hRule="atLeast"/>
          <w:tblCellSpacing w:w="0" w:type="dxa"/>
        </w:trPr>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投资估算、经济评价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0.8</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0.6</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0.4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2" w:hRule="atLeast"/>
          <w:tblCellSpacing w:w="0" w:type="dxa"/>
        </w:trPr>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工程概算编制或审核</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1.5</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1.3</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50" w:hRule="atLeast"/>
          <w:tblCellSpacing w:w="0" w:type="dxa"/>
        </w:trPr>
        <w:tc>
          <w:tcPr>
            <w:tcW w:w="15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工程施工图预算、结算或标底的编制</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土建及配套的安装工程</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5.0</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4.5</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4.2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755" w:hRule="atLeast"/>
          <w:tblCellSpacing w:w="0" w:type="dxa"/>
        </w:trPr>
        <w:tc>
          <w:tcPr>
            <w:tcW w:w="15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Ansi="宋体" w:cs="宋体"/>
                <w:b w:val="0"/>
                <w:bCs w:val="0"/>
                <w:color w:val="auto"/>
                <w:kern w:val="0"/>
                <w:sz w:val="18"/>
                <w:szCs w:val="18"/>
                <w:highlight w:val="none"/>
              </w:rPr>
            </w:pPr>
            <w:r>
              <w:rPr>
                <w:rFonts w:hAnsi="宋体" w:cs="宋体"/>
                <w:b w:val="0"/>
                <w:bCs w:val="0"/>
                <w:color w:val="auto"/>
                <w:kern w:val="0"/>
                <w:sz w:val="18"/>
                <w:szCs w:val="18"/>
                <w:highlight w:val="none"/>
              </w:rPr>
              <w:t>专项安装、二次装饰、园林绿化工程</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Ansi="宋体" w:cs="宋体"/>
                <w:b w:val="0"/>
                <w:bCs w:val="0"/>
                <w:color w:val="auto"/>
                <w:kern w:val="0"/>
                <w:sz w:val="18"/>
                <w:szCs w:val="18"/>
                <w:highlight w:val="none"/>
              </w:rPr>
            </w:pPr>
            <w:r>
              <w:rPr>
                <w:rFonts w:hAnsi="宋体" w:cs="宋体"/>
                <w:b w:val="0"/>
                <w:bCs w:val="0"/>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Ansi="宋体" w:cs="宋体"/>
                <w:b w:val="0"/>
                <w:bCs w:val="0"/>
                <w:color w:val="auto"/>
                <w:kern w:val="0"/>
                <w:sz w:val="18"/>
                <w:szCs w:val="18"/>
                <w:highlight w:val="none"/>
              </w:rPr>
            </w:pPr>
            <w:r>
              <w:rPr>
                <w:rFonts w:hAnsi="宋体" w:cs="宋体"/>
                <w:b w:val="0"/>
                <w:bCs w:val="0"/>
                <w:color w:val="auto"/>
                <w:kern w:val="0"/>
                <w:sz w:val="18"/>
                <w:szCs w:val="18"/>
                <w:highlight w:val="none"/>
              </w:rPr>
              <w:t>5.8</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Ansi="宋体" w:cs="宋体"/>
                <w:b w:val="0"/>
                <w:bCs w:val="0"/>
                <w:color w:val="auto"/>
                <w:kern w:val="0"/>
                <w:sz w:val="18"/>
                <w:szCs w:val="18"/>
                <w:highlight w:val="none"/>
              </w:rPr>
            </w:pPr>
            <w:r>
              <w:rPr>
                <w:rFonts w:hAnsi="宋体" w:cs="宋体"/>
                <w:b w:val="0"/>
                <w:bCs w:val="0"/>
                <w:color w:val="auto"/>
                <w:kern w:val="0"/>
                <w:sz w:val="18"/>
                <w:szCs w:val="18"/>
                <w:highlight w:val="none"/>
              </w:rPr>
              <w:t>5.5</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Ansi="宋体" w:cs="宋体"/>
                <w:b w:val="0"/>
                <w:bCs w:val="0"/>
                <w:color w:val="auto"/>
                <w:kern w:val="0"/>
                <w:sz w:val="18"/>
                <w:szCs w:val="18"/>
                <w:highlight w:val="none"/>
              </w:rPr>
            </w:pPr>
            <w:r>
              <w:rPr>
                <w:rFonts w:hAnsi="宋体" w:cs="宋体"/>
                <w:b w:val="0"/>
                <w:bCs w:val="0"/>
                <w:color w:val="auto"/>
                <w:kern w:val="0"/>
                <w:sz w:val="18"/>
                <w:szCs w:val="18"/>
                <w:highlight w:val="none"/>
              </w:rPr>
              <w:t>5.2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Ansi="宋体" w:cs="宋体"/>
                <w:b w:val="0"/>
                <w:bCs w:val="0"/>
                <w:color w:val="auto"/>
                <w:kern w:val="0"/>
                <w:sz w:val="18"/>
                <w:szCs w:val="18"/>
                <w:highlight w:val="none"/>
              </w:rPr>
            </w:pPr>
            <w:r>
              <w:rPr>
                <w:rFonts w:hAnsi="宋体" w:cs="宋体"/>
                <w:b w:val="0"/>
                <w:bCs w:val="0"/>
                <w:color w:val="auto"/>
                <w:kern w:val="0"/>
                <w:sz w:val="18"/>
                <w:szCs w:val="18"/>
                <w:highlight w:val="none"/>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25" w:hRule="atLeast"/>
          <w:tblCellSpacing w:w="0" w:type="dxa"/>
        </w:trPr>
        <w:tc>
          <w:tcPr>
            <w:tcW w:w="15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工程预算、结算、标底、投标报价的审核</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b/>
                <w:bCs/>
                <w:color w:val="auto"/>
                <w:kern w:val="0"/>
                <w:sz w:val="18"/>
                <w:szCs w:val="18"/>
                <w:highlight w:val="none"/>
              </w:rPr>
            </w:pPr>
            <w:r>
              <w:rPr>
                <w:rFonts w:hAnsi="宋体" w:cs="宋体"/>
                <w:b/>
                <w:bCs/>
                <w:color w:val="auto"/>
                <w:kern w:val="0"/>
                <w:sz w:val="18"/>
                <w:szCs w:val="18"/>
                <w:highlight w:val="none"/>
              </w:rPr>
              <w:t>土建及配套的安装工程</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hAnsi="宋体" w:cs="宋体"/>
                <w:b/>
                <w:bCs/>
                <w:color w:val="auto"/>
                <w:kern w:val="0"/>
                <w:sz w:val="18"/>
                <w:szCs w:val="18"/>
                <w:highlight w:val="none"/>
              </w:rPr>
            </w:pPr>
            <w:r>
              <w:rPr>
                <w:rFonts w:hAnsi="宋体" w:cs="宋体"/>
                <w:b/>
                <w:bCs/>
                <w:color w:val="auto"/>
                <w:kern w:val="0"/>
                <w:sz w:val="18"/>
                <w:szCs w:val="18"/>
                <w:highlight w:val="none"/>
              </w:rPr>
              <w:t>送审</w:t>
            </w:r>
          </w:p>
          <w:p>
            <w:pPr>
              <w:widowControl/>
              <w:spacing w:line="200" w:lineRule="exact"/>
              <w:jc w:val="center"/>
              <w:rPr>
                <w:rFonts w:cs="宋体"/>
                <w:b/>
                <w:bCs/>
                <w:color w:val="auto"/>
                <w:kern w:val="0"/>
                <w:sz w:val="18"/>
                <w:szCs w:val="18"/>
                <w:highlight w:val="none"/>
              </w:rPr>
            </w:pPr>
            <w:r>
              <w:rPr>
                <w:rFonts w:hAnsi="宋体" w:cs="宋体"/>
                <w:b/>
                <w:bCs/>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b/>
                <w:bCs/>
                <w:color w:val="auto"/>
                <w:kern w:val="0"/>
                <w:sz w:val="18"/>
                <w:szCs w:val="18"/>
                <w:highlight w:val="none"/>
              </w:rPr>
            </w:pPr>
            <w:r>
              <w:rPr>
                <w:rFonts w:cs="宋体"/>
                <w:b/>
                <w:bCs/>
                <w:color w:val="auto"/>
                <w:kern w:val="0"/>
                <w:sz w:val="18"/>
                <w:szCs w:val="18"/>
                <w:highlight w:val="none"/>
              </w:rPr>
              <w:t>4.8</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b/>
                <w:bCs/>
                <w:color w:val="auto"/>
                <w:kern w:val="0"/>
                <w:sz w:val="18"/>
                <w:szCs w:val="18"/>
                <w:highlight w:val="none"/>
              </w:rPr>
            </w:pPr>
            <w:r>
              <w:rPr>
                <w:rFonts w:cs="宋体"/>
                <w:b/>
                <w:bCs/>
                <w:color w:val="auto"/>
                <w:kern w:val="0"/>
                <w:sz w:val="18"/>
                <w:szCs w:val="18"/>
                <w:highlight w:val="none"/>
              </w:rPr>
              <w:t>4.3</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b/>
                <w:bCs/>
                <w:color w:val="auto"/>
                <w:kern w:val="0"/>
                <w:sz w:val="18"/>
                <w:szCs w:val="18"/>
                <w:highlight w:val="none"/>
              </w:rPr>
            </w:pPr>
            <w:r>
              <w:rPr>
                <w:rFonts w:cs="宋体"/>
                <w:b/>
                <w:bCs/>
                <w:color w:val="auto"/>
                <w:kern w:val="0"/>
                <w:sz w:val="18"/>
                <w:szCs w:val="18"/>
                <w:highlight w:val="none"/>
              </w:rPr>
              <w:t>3.8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b/>
                <w:bCs/>
                <w:color w:val="auto"/>
                <w:kern w:val="0"/>
                <w:sz w:val="18"/>
                <w:szCs w:val="18"/>
                <w:highlight w:val="none"/>
              </w:rPr>
            </w:pPr>
            <w:r>
              <w:rPr>
                <w:rFonts w:cs="宋体"/>
                <w:b/>
                <w:bCs/>
                <w:color w:val="auto"/>
                <w:kern w:val="0"/>
                <w:sz w:val="18"/>
                <w:szCs w:val="18"/>
                <w:highlight w:val="none"/>
              </w:rPr>
              <w:t>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795" w:hRule="atLeast"/>
          <w:tblCellSpacing w:w="0" w:type="dxa"/>
        </w:trPr>
        <w:tc>
          <w:tcPr>
            <w:tcW w:w="15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b/>
                <w:bCs/>
                <w:color w:val="auto"/>
                <w:kern w:val="0"/>
                <w:sz w:val="18"/>
                <w:szCs w:val="18"/>
                <w:highlight w:val="none"/>
              </w:rPr>
            </w:pPr>
            <w:r>
              <w:rPr>
                <w:rFonts w:hAnsi="宋体" w:cs="宋体"/>
                <w:b/>
                <w:bCs/>
                <w:color w:val="auto"/>
                <w:kern w:val="0"/>
                <w:sz w:val="18"/>
                <w:szCs w:val="18"/>
                <w:highlight w:val="none"/>
              </w:rPr>
              <w:t>专项安装、二次装饰、园林绿化工程</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hAnsi="宋体" w:cs="宋体"/>
                <w:b/>
                <w:bCs/>
                <w:color w:val="auto"/>
                <w:kern w:val="0"/>
                <w:sz w:val="18"/>
                <w:szCs w:val="18"/>
                <w:highlight w:val="none"/>
              </w:rPr>
            </w:pPr>
            <w:r>
              <w:rPr>
                <w:rFonts w:hAnsi="宋体" w:cs="宋体"/>
                <w:b/>
                <w:bCs/>
                <w:color w:val="auto"/>
                <w:kern w:val="0"/>
                <w:sz w:val="18"/>
                <w:szCs w:val="18"/>
                <w:highlight w:val="none"/>
              </w:rPr>
              <w:t>送审</w:t>
            </w:r>
          </w:p>
          <w:p>
            <w:pPr>
              <w:widowControl/>
              <w:spacing w:line="200" w:lineRule="exact"/>
              <w:jc w:val="center"/>
              <w:rPr>
                <w:rFonts w:cs="宋体"/>
                <w:b/>
                <w:bCs/>
                <w:color w:val="auto"/>
                <w:kern w:val="0"/>
                <w:sz w:val="18"/>
                <w:szCs w:val="18"/>
                <w:highlight w:val="none"/>
              </w:rPr>
            </w:pPr>
            <w:r>
              <w:rPr>
                <w:rFonts w:hAnsi="宋体" w:cs="宋体"/>
                <w:b/>
                <w:bCs/>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b/>
                <w:bCs/>
                <w:color w:val="auto"/>
                <w:kern w:val="0"/>
                <w:sz w:val="18"/>
                <w:szCs w:val="18"/>
                <w:highlight w:val="none"/>
              </w:rPr>
            </w:pPr>
            <w:r>
              <w:rPr>
                <w:rFonts w:cs="宋体"/>
                <w:b/>
                <w:bCs/>
                <w:color w:val="auto"/>
                <w:kern w:val="0"/>
                <w:sz w:val="18"/>
                <w:szCs w:val="18"/>
                <w:highlight w:val="none"/>
              </w:rPr>
              <w:t>5.8</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b/>
                <w:bCs/>
                <w:color w:val="auto"/>
                <w:kern w:val="0"/>
                <w:sz w:val="18"/>
                <w:szCs w:val="18"/>
                <w:highlight w:val="none"/>
              </w:rPr>
            </w:pPr>
            <w:r>
              <w:rPr>
                <w:rFonts w:cs="宋体"/>
                <w:b/>
                <w:bCs/>
                <w:color w:val="auto"/>
                <w:kern w:val="0"/>
                <w:sz w:val="18"/>
                <w:szCs w:val="18"/>
                <w:highlight w:val="none"/>
              </w:rPr>
              <w:t>5.3</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b/>
                <w:bCs/>
                <w:color w:val="auto"/>
                <w:kern w:val="0"/>
                <w:sz w:val="18"/>
                <w:szCs w:val="18"/>
                <w:highlight w:val="none"/>
              </w:rPr>
            </w:pPr>
            <w:r>
              <w:rPr>
                <w:rFonts w:cs="宋体"/>
                <w:b/>
                <w:bCs/>
                <w:color w:val="auto"/>
                <w:kern w:val="0"/>
                <w:sz w:val="18"/>
                <w:szCs w:val="18"/>
                <w:highlight w:val="none"/>
              </w:rPr>
              <w:t>4.8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b/>
                <w:bCs/>
                <w:color w:val="auto"/>
                <w:kern w:val="0"/>
                <w:sz w:val="18"/>
                <w:szCs w:val="18"/>
                <w:highlight w:val="none"/>
              </w:rPr>
            </w:pPr>
            <w:r>
              <w:rPr>
                <w:rFonts w:cs="宋体"/>
                <w:b/>
                <w:bCs/>
                <w:color w:val="auto"/>
                <w:kern w:val="0"/>
                <w:sz w:val="18"/>
                <w:szCs w:val="18"/>
                <w:highlight w:val="none"/>
              </w:rPr>
              <w:t>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10" w:hRule="atLeast"/>
          <w:tblCellSpacing w:w="0" w:type="dxa"/>
        </w:trPr>
        <w:tc>
          <w:tcPr>
            <w:tcW w:w="15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hAnsi="宋体" w:eastAsia="宋体" w:cs="宋体"/>
                <w:color w:val="auto"/>
                <w:kern w:val="0"/>
                <w:sz w:val="18"/>
                <w:szCs w:val="18"/>
                <w:highlight w:val="none"/>
                <w:lang w:eastAsia="zh-CN"/>
              </w:rPr>
            </w:pPr>
            <w:r>
              <w:rPr>
                <w:rFonts w:hAnsi="宋体" w:cs="宋体"/>
                <w:color w:val="auto"/>
                <w:kern w:val="0"/>
                <w:sz w:val="18"/>
                <w:szCs w:val="18"/>
                <w:highlight w:val="none"/>
              </w:rPr>
              <w:t>编制工程量</w:t>
            </w:r>
          </w:p>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清单</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土建及配套的安装工程</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4.2</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3.7</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3.4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780" w:hRule="atLeast"/>
          <w:tblCellSpacing w:w="0" w:type="dxa"/>
        </w:trPr>
        <w:tc>
          <w:tcPr>
            <w:tcW w:w="15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专项安装、二次装饰、园林绿化工程</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4.6</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4.4</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4.2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95" w:hRule="atLeast"/>
          <w:tblCellSpacing w:w="0" w:type="dxa"/>
        </w:trPr>
        <w:tc>
          <w:tcPr>
            <w:tcW w:w="15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标底、投标报价的编制或审核（仅单价）</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土建及配套的安装工程</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1.1</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1.1</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786" w:hRule="atLeast"/>
          <w:tblCellSpacing w:w="0" w:type="dxa"/>
        </w:trPr>
        <w:tc>
          <w:tcPr>
            <w:tcW w:w="15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专项安装、二次装饰、园林绿化工程</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1.4</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1.3</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2" w:hRule="atLeast"/>
          <w:tblCellSpacing w:w="0" w:type="dxa"/>
        </w:trPr>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工程造价纠纷的协调鉴证</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4.5</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4.0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3.5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2" w:hRule="atLeast"/>
          <w:tblCellSpacing w:w="0" w:type="dxa"/>
        </w:trPr>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工程造价进度控制</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工程造价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1.6</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1.4</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2" w:hRule="atLeast"/>
          <w:tblCellSpacing w:w="0" w:type="dxa"/>
        </w:trPr>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钢筋抽筋计算、审核</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hAnsi="宋体" w:cs="宋体"/>
                <w:color w:val="auto"/>
                <w:kern w:val="0"/>
                <w:sz w:val="18"/>
                <w:szCs w:val="18"/>
                <w:highlight w:val="none"/>
              </w:rPr>
              <w:t>实际抽筋量</w:t>
            </w:r>
          </w:p>
        </w:tc>
        <w:tc>
          <w:tcPr>
            <w:tcW w:w="54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cs="宋体"/>
                <w:color w:val="auto"/>
                <w:kern w:val="0"/>
                <w:sz w:val="18"/>
                <w:szCs w:val="18"/>
                <w:highlight w:val="none"/>
              </w:rPr>
            </w:pPr>
            <w:r>
              <w:rPr>
                <w:rFonts w:cs="宋体"/>
                <w:color w:val="auto"/>
                <w:kern w:val="0"/>
                <w:sz w:val="18"/>
                <w:szCs w:val="18"/>
                <w:highlight w:val="none"/>
              </w:rPr>
              <w:t>15</w:t>
            </w:r>
            <w:r>
              <w:rPr>
                <w:rFonts w:hAnsi="宋体" w:cs="宋体"/>
                <w:color w:val="auto"/>
                <w:kern w:val="0"/>
                <w:sz w:val="18"/>
                <w:szCs w:val="18"/>
                <w:highlight w:val="none"/>
              </w:rPr>
              <w:t>元</w:t>
            </w:r>
            <w:r>
              <w:rPr>
                <w:rFonts w:cs="宋体"/>
                <w:color w:val="auto"/>
                <w:kern w:val="0"/>
                <w:sz w:val="18"/>
                <w:szCs w:val="18"/>
                <w:highlight w:val="none"/>
              </w:rPr>
              <w:t>/</w:t>
            </w:r>
            <w:r>
              <w:rPr>
                <w:rFonts w:hAnsi="宋体" w:cs="宋体"/>
                <w:color w:val="auto"/>
                <w:kern w:val="0"/>
                <w:sz w:val="18"/>
                <w:szCs w:val="18"/>
                <w:highlight w:val="none"/>
              </w:rPr>
              <w:t>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7" w:hRule="atLeast"/>
          <w:tblCellSpacing w:w="0" w:type="dxa"/>
        </w:trPr>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Ansi="宋体" w:cs="宋体"/>
                <w:color w:val="auto"/>
                <w:kern w:val="0"/>
                <w:sz w:val="18"/>
                <w:szCs w:val="18"/>
                <w:highlight w:val="none"/>
              </w:rPr>
            </w:pPr>
            <w:r>
              <w:rPr>
                <w:rFonts w:hAnsi="宋体" w:cs="宋体"/>
                <w:color w:val="auto"/>
                <w:kern w:val="0"/>
                <w:sz w:val="18"/>
                <w:szCs w:val="18"/>
                <w:highlight w:val="none"/>
              </w:rPr>
              <w:t>注册造价工程师技术咨询</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Ansi="宋体" w:cs="宋体"/>
                <w:color w:val="auto"/>
                <w:kern w:val="0"/>
                <w:sz w:val="18"/>
                <w:szCs w:val="18"/>
                <w:highlight w:val="none"/>
              </w:rPr>
            </w:pPr>
            <w:r>
              <w:rPr>
                <w:rFonts w:hAnsi="宋体" w:cs="宋体"/>
                <w:color w:val="auto"/>
                <w:kern w:val="0"/>
                <w:sz w:val="18"/>
                <w:szCs w:val="18"/>
                <w:highlight w:val="none"/>
              </w:rPr>
              <w:t>每人每日</w:t>
            </w:r>
          </w:p>
        </w:tc>
        <w:tc>
          <w:tcPr>
            <w:tcW w:w="54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Ansi="宋体" w:cs="宋体"/>
                <w:color w:val="auto"/>
                <w:kern w:val="0"/>
                <w:sz w:val="18"/>
                <w:szCs w:val="18"/>
                <w:highlight w:val="none"/>
              </w:rPr>
            </w:pPr>
            <w:r>
              <w:rPr>
                <w:rFonts w:hAnsi="宋体" w:cs="宋体"/>
                <w:color w:val="auto"/>
                <w:kern w:val="0"/>
                <w:sz w:val="18"/>
                <w:szCs w:val="18"/>
                <w:highlight w:val="none"/>
              </w:rPr>
              <w:t>400元</w:t>
            </w:r>
          </w:p>
        </w:tc>
      </w:tr>
    </w:tbl>
    <w:p>
      <w:pPr>
        <w:pStyle w:val="16"/>
        <w:spacing w:before="0" w:beforeAutospacing="0" w:after="0" w:afterAutospacing="0"/>
        <w:jc w:val="both"/>
        <w:rPr>
          <w:rFonts w:hint="eastAsia" w:hAnsi="_x000B__x000C_"/>
          <w:color w:val="auto"/>
          <w:sz w:val="21"/>
          <w:szCs w:val="21"/>
          <w:highlight w:val="none"/>
        </w:rPr>
      </w:pPr>
      <w:r>
        <w:rPr>
          <w:rFonts w:hint="eastAsia" w:hAnsi="_x000B__x000C_"/>
          <w:color w:val="auto"/>
          <w:sz w:val="21"/>
          <w:szCs w:val="21"/>
          <w:highlight w:val="none"/>
        </w:rPr>
        <w:t>注：1、按上表计费不足1000元的，按1000元收费。</w:t>
      </w:r>
    </w:p>
    <w:p>
      <w:pPr>
        <w:spacing w:line="580" w:lineRule="exact"/>
        <w:ind w:firstLine="300" w:firstLineChars="100"/>
        <w:rPr>
          <w:rFonts w:ascii="仿宋" w:hAnsi="仿宋" w:eastAsia="仿宋" w:cs="仿宋"/>
          <w:sz w:val="28"/>
          <w:szCs w:val="28"/>
        </w:rPr>
      </w:pPr>
      <w:r>
        <w:rPr>
          <w:rFonts w:hint="eastAsia" w:ascii="仿宋" w:hAnsi="仿宋" w:eastAsia="仿宋"/>
          <w:sz w:val="30"/>
          <w:szCs w:val="30"/>
          <w:lang w:val="en-US" w:eastAsia="zh-CN"/>
        </w:rPr>
        <w:t xml:space="preserve"> </w:t>
      </w:r>
      <w:r>
        <w:rPr>
          <w:rFonts w:hint="eastAsia" w:ascii="仿宋" w:hAnsi="仿宋" w:eastAsia="仿宋" w:cs="仿宋"/>
          <w:sz w:val="28"/>
          <w:szCs w:val="28"/>
        </w:rPr>
        <w:t>3、按附件合同的要求，保质保量完成《</w:t>
      </w:r>
      <w:r>
        <w:rPr>
          <w:rFonts w:hint="eastAsia" w:ascii="仿宋" w:hAnsi="仿宋" w:eastAsia="仿宋" w:cs="仿宋"/>
          <w:b w:val="0"/>
          <w:sz w:val="28"/>
          <w:szCs w:val="28"/>
        </w:rPr>
        <w:t>南平武夷集团商务写字楼项目预算审核工作服务单位询价函</w:t>
      </w:r>
      <w:r>
        <w:rPr>
          <w:rFonts w:hint="eastAsia" w:ascii="仿宋" w:hAnsi="仿宋" w:eastAsia="仿宋" w:cs="仿宋"/>
          <w:sz w:val="28"/>
          <w:szCs w:val="28"/>
        </w:rPr>
        <w:t>》</w:t>
      </w:r>
      <w:r>
        <w:rPr>
          <w:rFonts w:hint="eastAsia" w:ascii="仿宋" w:hAnsi="仿宋" w:eastAsia="仿宋" w:cs="仿宋"/>
          <w:sz w:val="28"/>
          <w:szCs w:val="28"/>
          <w:lang w:val="en-US" w:eastAsia="zh-CN"/>
        </w:rPr>
        <w:t>及补遗书</w:t>
      </w:r>
      <w:r>
        <w:rPr>
          <w:rFonts w:hint="eastAsia" w:ascii="仿宋" w:hAnsi="仿宋" w:eastAsia="仿宋" w:cs="仿宋"/>
          <w:sz w:val="28"/>
          <w:szCs w:val="28"/>
        </w:rPr>
        <w:t>中的委托工作内容；</w:t>
      </w:r>
    </w:p>
    <w:p>
      <w:pPr>
        <w:spacing w:line="58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4、在合同书正式签署生效之前，本报价函连同你单位的询价文件、中选通知书将构成我们双方之间共同遵守的文件，对双方具有约束力。</w:t>
      </w:r>
    </w:p>
    <w:p>
      <w:pPr>
        <w:spacing w:line="580" w:lineRule="exact"/>
        <w:ind w:firstLine="280" w:firstLineChars="100"/>
        <w:rPr>
          <w:rFonts w:ascii="仿宋" w:hAnsi="仿宋" w:eastAsia="仿宋" w:cs="仿宋"/>
          <w:color w:val="000000"/>
          <w:sz w:val="28"/>
          <w:szCs w:val="28"/>
        </w:rPr>
      </w:pPr>
      <w:r>
        <w:rPr>
          <w:rFonts w:hint="eastAsia" w:ascii="仿宋" w:hAnsi="仿宋" w:eastAsia="仿宋" w:cs="仿宋"/>
          <w:sz w:val="28"/>
          <w:szCs w:val="28"/>
        </w:rPr>
        <w:t xml:space="preserve"> 5、我们理解，你单位不一定接受最低报价的承诺或你单位接到的其它任何承诺。同时也理解，你单位不负担我们的任何报价费用。</w:t>
      </w:r>
    </w:p>
    <w:p>
      <w:pPr>
        <w:ind w:firstLine="750" w:firstLineChars="250"/>
        <w:rPr>
          <w:rFonts w:hint="eastAsia" w:ascii="仿宋" w:hAnsi="仿宋" w:eastAsia="仿宋"/>
          <w:sz w:val="30"/>
          <w:szCs w:val="30"/>
        </w:rPr>
      </w:pPr>
    </w:p>
    <w:p>
      <w:pPr>
        <w:ind w:firstLine="750" w:firstLineChars="250"/>
        <w:rPr>
          <w:rFonts w:hint="eastAsia" w:ascii="仿宋" w:hAnsi="仿宋" w:eastAsia="仿宋"/>
          <w:sz w:val="30"/>
          <w:szCs w:val="30"/>
        </w:rPr>
      </w:pPr>
      <w:r>
        <w:rPr>
          <w:rFonts w:hint="eastAsia" w:ascii="仿宋" w:hAnsi="仿宋" w:eastAsia="仿宋"/>
          <w:sz w:val="30"/>
          <w:szCs w:val="30"/>
        </w:rPr>
        <w:t xml:space="preserve">                  报价单位（盖单位公章）：</w:t>
      </w:r>
    </w:p>
    <w:p>
      <w:pPr>
        <w:ind w:firstLine="750" w:firstLineChars="250"/>
        <w:rPr>
          <w:rFonts w:hint="eastAsia" w:ascii="仿宋" w:hAnsi="仿宋" w:eastAsia="仿宋"/>
          <w:sz w:val="30"/>
          <w:szCs w:val="30"/>
          <w:u w:val="single"/>
        </w:rPr>
      </w:pPr>
    </w:p>
    <w:p>
      <w:pPr>
        <w:ind w:firstLine="750" w:firstLineChars="250"/>
        <w:rPr>
          <w:rFonts w:hint="eastAsia" w:ascii="仿宋" w:hAnsi="仿宋" w:eastAsia="仿宋"/>
          <w:sz w:val="30"/>
          <w:szCs w:val="30"/>
        </w:rPr>
      </w:pPr>
      <w:r>
        <w:rPr>
          <w:rFonts w:hint="eastAsia" w:ascii="仿宋" w:hAnsi="仿宋" w:eastAsia="仿宋"/>
          <w:sz w:val="30"/>
          <w:szCs w:val="30"/>
        </w:rPr>
        <w:t xml:space="preserve">                     20</w:t>
      </w:r>
      <w:r>
        <w:rPr>
          <w:rFonts w:ascii="仿宋" w:hAnsi="仿宋" w:eastAsia="仿宋"/>
          <w:sz w:val="30"/>
          <w:szCs w:val="30"/>
        </w:rPr>
        <w:t>2</w:t>
      </w:r>
      <w:r>
        <w:rPr>
          <w:rFonts w:hint="eastAsia" w:ascii="仿宋" w:hAnsi="仿宋" w:eastAsia="仿宋"/>
          <w:sz w:val="30"/>
          <w:szCs w:val="30"/>
          <w:lang w:val="en-US" w:eastAsia="zh-CN"/>
        </w:rPr>
        <w:t>3</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 xml:space="preserve">月 </w:t>
      </w:r>
      <w:r>
        <w:rPr>
          <w:rFonts w:ascii="仿宋" w:hAnsi="仿宋" w:eastAsia="仿宋"/>
          <w:sz w:val="30"/>
          <w:szCs w:val="30"/>
        </w:rPr>
        <w:t xml:space="preserve"> </w:t>
      </w:r>
      <w:r>
        <w:rPr>
          <w:rFonts w:hint="eastAsia" w:ascii="仿宋" w:hAnsi="仿宋" w:eastAsia="仿宋"/>
          <w:sz w:val="30"/>
          <w:szCs w:val="30"/>
        </w:rPr>
        <w:t xml:space="preserve"> 日</w:t>
      </w:r>
    </w:p>
    <w:p>
      <w:pPr>
        <w:pStyle w:val="2"/>
        <w:numPr>
          <w:numId w:val="0"/>
        </w:numPr>
        <w:ind w:leftChars="200"/>
        <w:rPr>
          <w:rFonts w:hint="default" w:ascii="仿宋_GB2312" w:hAnsi="仿宋" w:eastAsia="仿宋_GB2312" w:cs="Times New Roman"/>
          <w:kern w:val="2"/>
          <w:sz w:val="32"/>
          <w:szCs w:val="32"/>
          <w:lang w:val="en-US" w:eastAsia="zh-CN" w:bidi="ar-SA"/>
        </w:rPr>
      </w:pPr>
    </w:p>
    <w:p>
      <w:pPr>
        <w:spacing w:line="590" w:lineRule="exact"/>
        <w:ind w:firstLine="640" w:firstLineChars="200"/>
        <w:rPr>
          <w:rFonts w:ascii="仿宋_GB2312" w:hAnsi="仿宋" w:eastAsia="仿宋_GB2312"/>
          <w:sz w:val="32"/>
          <w:szCs w:val="32"/>
        </w:rPr>
      </w:pPr>
    </w:p>
    <w:p>
      <w:pPr>
        <w:spacing w:line="590" w:lineRule="exact"/>
        <w:ind w:firstLine="640" w:firstLineChars="200"/>
        <w:rPr>
          <w:rFonts w:ascii="仿宋_GB2312" w:hAnsi="仿宋" w:eastAsia="仿宋_GB2312"/>
          <w:sz w:val="32"/>
          <w:szCs w:val="32"/>
        </w:rPr>
      </w:pPr>
    </w:p>
    <w:p>
      <w:pPr>
        <w:spacing w:line="590" w:lineRule="exact"/>
        <w:ind w:firstLine="640" w:firstLineChars="200"/>
        <w:rPr>
          <w:rFonts w:ascii="仿宋_GB2312" w:hAnsi="仿宋" w:eastAsia="仿宋_GB2312"/>
          <w:sz w:val="32"/>
          <w:szCs w:val="32"/>
        </w:rPr>
      </w:pPr>
    </w:p>
    <w:p>
      <w:pPr>
        <w:spacing w:line="590" w:lineRule="exact"/>
        <w:ind w:firstLine="640" w:firstLineChars="200"/>
        <w:rPr>
          <w:rFonts w:ascii="仿宋_GB2312" w:hAnsi="仿宋" w:eastAsia="仿宋_GB2312"/>
          <w:sz w:val="32"/>
          <w:szCs w:val="32"/>
        </w:rPr>
      </w:pPr>
    </w:p>
    <w:p>
      <w:pPr>
        <w:spacing w:line="590" w:lineRule="exact"/>
        <w:ind w:firstLine="640" w:firstLineChars="200"/>
        <w:jc w:val="right"/>
        <w:rPr>
          <w:rFonts w:hint="eastAsia" w:ascii="仿宋_GB2312" w:hAnsi="仿宋" w:eastAsia="仿宋_GB2312"/>
          <w:sz w:val="32"/>
          <w:szCs w:val="32"/>
        </w:rPr>
      </w:pPr>
    </w:p>
    <w:p>
      <w:pPr>
        <w:spacing w:line="590" w:lineRule="exact"/>
        <w:ind w:firstLine="640" w:firstLineChars="200"/>
        <w:jc w:val="right"/>
        <w:rPr>
          <w:rFonts w:hint="eastAsia" w:ascii="仿宋_GB2312" w:hAnsi="仿宋" w:eastAsia="仿宋_GB2312"/>
          <w:sz w:val="32"/>
          <w:szCs w:val="32"/>
        </w:rPr>
      </w:pPr>
    </w:p>
    <w:p>
      <w:pPr>
        <w:spacing w:line="590" w:lineRule="exact"/>
        <w:ind w:firstLine="640" w:firstLineChars="200"/>
        <w:jc w:val="right"/>
        <w:rPr>
          <w:rFonts w:hint="eastAsia" w:ascii="仿宋_GB2312" w:hAnsi="仿宋" w:eastAsia="仿宋_GB2312"/>
          <w:sz w:val="32"/>
          <w:szCs w:val="32"/>
        </w:rPr>
      </w:pPr>
    </w:p>
    <w:p>
      <w:pPr>
        <w:spacing w:line="590" w:lineRule="exact"/>
        <w:ind w:firstLine="640" w:firstLineChars="200"/>
        <w:jc w:val="right"/>
        <w:rPr>
          <w:rFonts w:hint="eastAsia" w:ascii="仿宋_GB2312" w:hAnsi="仿宋" w:eastAsia="仿宋_GB2312"/>
          <w:sz w:val="32"/>
          <w:szCs w:val="32"/>
        </w:rPr>
      </w:pPr>
    </w:p>
    <w:p>
      <w:pPr>
        <w:spacing w:line="590" w:lineRule="exact"/>
        <w:ind w:firstLine="640" w:firstLineChars="200"/>
        <w:jc w:val="right"/>
        <w:rPr>
          <w:rFonts w:hint="eastAsia" w:ascii="仿宋_GB2312" w:hAnsi="仿宋" w:eastAsia="仿宋_GB2312"/>
          <w:sz w:val="32"/>
          <w:szCs w:val="32"/>
        </w:rPr>
      </w:pPr>
    </w:p>
    <w:p>
      <w:pPr>
        <w:spacing w:line="590" w:lineRule="exact"/>
        <w:ind w:firstLine="640" w:firstLineChars="200"/>
        <w:jc w:val="right"/>
        <w:rPr>
          <w:rFonts w:hint="eastAsia" w:ascii="仿宋_GB2312" w:hAnsi="仿宋" w:eastAsia="仿宋_GB2312"/>
          <w:sz w:val="32"/>
          <w:szCs w:val="32"/>
        </w:rPr>
      </w:pPr>
    </w:p>
    <w:p>
      <w:pPr>
        <w:spacing w:line="590" w:lineRule="exact"/>
        <w:ind w:firstLine="640" w:firstLineChars="200"/>
        <w:jc w:val="right"/>
        <w:rPr>
          <w:rFonts w:hint="eastAsia" w:ascii="仿宋_GB2312" w:hAnsi="仿宋" w:eastAsia="仿宋_GB2312"/>
          <w:sz w:val="32"/>
          <w:szCs w:val="32"/>
        </w:rPr>
      </w:pPr>
    </w:p>
    <w:p>
      <w:pPr>
        <w:spacing w:line="590" w:lineRule="exact"/>
        <w:ind w:firstLine="640" w:firstLineChars="200"/>
        <w:jc w:val="right"/>
        <w:rPr>
          <w:rFonts w:hint="eastAsia" w:ascii="仿宋_GB2312" w:hAnsi="仿宋" w:eastAsia="仿宋_GB2312"/>
          <w:sz w:val="32"/>
          <w:szCs w:val="32"/>
        </w:rPr>
      </w:pPr>
    </w:p>
    <w:p>
      <w:pPr>
        <w:spacing w:line="590" w:lineRule="exact"/>
        <w:ind w:firstLine="640" w:firstLineChars="200"/>
        <w:jc w:val="right"/>
        <w:rPr>
          <w:rFonts w:ascii="仿宋_GB2312" w:hAnsi="仿宋" w:eastAsia="仿宋_GB2312"/>
          <w:sz w:val="32"/>
          <w:szCs w:val="32"/>
        </w:rPr>
      </w:pPr>
      <w:r>
        <w:rPr>
          <w:rFonts w:hint="eastAsia" w:ascii="仿宋_GB2312" w:hAnsi="仿宋" w:eastAsia="仿宋_GB2312"/>
          <w:sz w:val="32"/>
          <w:szCs w:val="32"/>
        </w:rPr>
        <w:t>南平高速建设有限公司</w:t>
      </w:r>
    </w:p>
    <w:p>
      <w:pPr>
        <w:spacing w:line="590" w:lineRule="exact"/>
        <w:ind w:firstLine="640" w:firstLineChars="200"/>
        <w:jc w:val="right"/>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16</w:t>
      </w:r>
      <w:r>
        <w:rPr>
          <w:rFonts w:hint="eastAsia" w:ascii="仿宋_GB2312" w:hAnsi="仿宋"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4YzExNmJmZjAwZTY0ZmJlZjBkM2MxODA5ZjRkZDcifQ=="/>
  </w:docVars>
  <w:rsids>
    <w:rsidRoot w:val="00FF4AF4"/>
    <w:rsid w:val="0009687B"/>
    <w:rsid w:val="00146EFC"/>
    <w:rsid w:val="003526DF"/>
    <w:rsid w:val="00421B05"/>
    <w:rsid w:val="004B7744"/>
    <w:rsid w:val="005E67D9"/>
    <w:rsid w:val="00613518"/>
    <w:rsid w:val="00694330"/>
    <w:rsid w:val="006D5A27"/>
    <w:rsid w:val="006E2523"/>
    <w:rsid w:val="006F65F2"/>
    <w:rsid w:val="00741076"/>
    <w:rsid w:val="007521F6"/>
    <w:rsid w:val="00763F86"/>
    <w:rsid w:val="007E50DB"/>
    <w:rsid w:val="009714C7"/>
    <w:rsid w:val="009E5544"/>
    <w:rsid w:val="00A002AA"/>
    <w:rsid w:val="00B25D11"/>
    <w:rsid w:val="00B52688"/>
    <w:rsid w:val="00BE5425"/>
    <w:rsid w:val="00BE640E"/>
    <w:rsid w:val="00D30F47"/>
    <w:rsid w:val="00D4069B"/>
    <w:rsid w:val="00D4317D"/>
    <w:rsid w:val="00EF3983"/>
    <w:rsid w:val="00F05012"/>
    <w:rsid w:val="00F21E06"/>
    <w:rsid w:val="00F93B47"/>
    <w:rsid w:val="00FF4AF4"/>
    <w:rsid w:val="02025461"/>
    <w:rsid w:val="024D5FC8"/>
    <w:rsid w:val="03F76838"/>
    <w:rsid w:val="07EC76CF"/>
    <w:rsid w:val="09B931DB"/>
    <w:rsid w:val="10433815"/>
    <w:rsid w:val="11D57688"/>
    <w:rsid w:val="127A2E71"/>
    <w:rsid w:val="1304059B"/>
    <w:rsid w:val="160548BB"/>
    <w:rsid w:val="17386EC5"/>
    <w:rsid w:val="18725702"/>
    <w:rsid w:val="1A226249"/>
    <w:rsid w:val="1DE32193"/>
    <w:rsid w:val="22654B90"/>
    <w:rsid w:val="25664289"/>
    <w:rsid w:val="25BA5ED0"/>
    <w:rsid w:val="25DD1BFB"/>
    <w:rsid w:val="26D35656"/>
    <w:rsid w:val="27565784"/>
    <w:rsid w:val="280C1CC2"/>
    <w:rsid w:val="28A32C4B"/>
    <w:rsid w:val="28DB0147"/>
    <w:rsid w:val="2AD36EA9"/>
    <w:rsid w:val="2DB002B3"/>
    <w:rsid w:val="2EF57F78"/>
    <w:rsid w:val="2FB83480"/>
    <w:rsid w:val="314659F3"/>
    <w:rsid w:val="32720836"/>
    <w:rsid w:val="327C4EBF"/>
    <w:rsid w:val="3A8231A4"/>
    <w:rsid w:val="3B6C7049"/>
    <w:rsid w:val="3D291F4C"/>
    <w:rsid w:val="41455B1D"/>
    <w:rsid w:val="4EBB043F"/>
    <w:rsid w:val="4ED60694"/>
    <w:rsid w:val="5178235A"/>
    <w:rsid w:val="518C7E71"/>
    <w:rsid w:val="54A13C33"/>
    <w:rsid w:val="54EA0388"/>
    <w:rsid w:val="57785372"/>
    <w:rsid w:val="5B483770"/>
    <w:rsid w:val="5CAB68B3"/>
    <w:rsid w:val="5D3A5890"/>
    <w:rsid w:val="613A1697"/>
    <w:rsid w:val="615470F3"/>
    <w:rsid w:val="61D03DA9"/>
    <w:rsid w:val="68EF1F07"/>
    <w:rsid w:val="6AA65798"/>
    <w:rsid w:val="6C6B2974"/>
    <w:rsid w:val="6CB52B66"/>
    <w:rsid w:val="70560346"/>
    <w:rsid w:val="707963D7"/>
    <w:rsid w:val="748A3B5E"/>
    <w:rsid w:val="770F482D"/>
    <w:rsid w:val="7CBD4B05"/>
    <w:rsid w:val="7F7C6F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keepNext/>
      <w:keepLines/>
      <w:spacing w:before="340" w:after="330" w:line="578" w:lineRule="auto"/>
      <w:jc w:val="center"/>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style>
  <w:style w:type="paragraph" w:styleId="4">
    <w:name w:val="Body Text Indent"/>
    <w:basedOn w:val="1"/>
    <w:uiPriority w:val="0"/>
    <w:pPr>
      <w:spacing w:line="440" w:lineRule="atLeast"/>
      <w:ind w:firstLine="523" w:firstLineChars="218"/>
    </w:pPr>
    <w:rPr>
      <w:kern w:val="8"/>
      <w:sz w:val="24"/>
    </w:rPr>
  </w:style>
  <w:style w:type="paragraph" w:styleId="5">
    <w:name w:val="Plain Text"/>
    <w:basedOn w:val="1"/>
    <w:qFormat/>
    <w:uiPriority w:val="0"/>
    <w:rPr>
      <w:rFonts w:ascii="宋体" w:hAnsi="Courier New"/>
      <w:kern w:val="0"/>
      <w:sz w:val="20"/>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widowControl w:val="0"/>
      <w:spacing w:line="240" w:lineRule="auto"/>
      <w:ind w:firstLine="420" w:firstLineChars="200"/>
      <w:jc w:val="both"/>
    </w:pPr>
    <w:rPr>
      <w:kern w:val="2"/>
      <w:sz w:val="21"/>
      <w:lang w:eastAsia="zh-CN" w:bidi="ar-SA"/>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qFormat/>
    <w:uiPriority w:val="99"/>
    <w:pPr>
      <w:widowControl/>
    </w:pPr>
    <w:rPr>
      <w:kern w:val="0"/>
      <w:szCs w:val="21"/>
    </w:rPr>
  </w:style>
  <w:style w:type="character" w:customStyle="1" w:styleId="13">
    <w:name w:val="页眉 Char"/>
    <w:basedOn w:val="11"/>
    <w:link w:val="7"/>
    <w:qFormat/>
    <w:uiPriority w:val="0"/>
    <w:rPr>
      <w:kern w:val="2"/>
      <w:sz w:val="18"/>
      <w:szCs w:val="18"/>
    </w:rPr>
  </w:style>
  <w:style w:type="character" w:customStyle="1" w:styleId="14">
    <w:name w:val="页脚 Char"/>
    <w:basedOn w:val="11"/>
    <w:link w:val="6"/>
    <w:qFormat/>
    <w:uiPriority w:val="0"/>
    <w:rPr>
      <w:kern w:val="2"/>
      <w:sz w:val="18"/>
      <w:szCs w:val="18"/>
    </w:rPr>
  </w:style>
  <w:style w:type="character" w:customStyle="1" w:styleId="15">
    <w:name w:val="标题 1 Char"/>
    <w:link w:val="3"/>
    <w:qFormat/>
    <w:uiPriority w:val="0"/>
    <w:rPr>
      <w:b/>
      <w:bCs/>
      <w:kern w:val="44"/>
      <w:sz w:val="44"/>
      <w:szCs w:val="44"/>
    </w:rPr>
  </w:style>
  <w:style w:type="paragraph" w:customStyle="1" w:styleId="16">
    <w:name w:val="b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customStyle="1" w:styleId="17">
    <w:name w:val="biaoti1"/>
    <w:basedOn w:val="11"/>
    <w:qFormat/>
    <w:uiPriority w:val="0"/>
    <w:rPr>
      <w:rFonts w:hint="eastAsia" w:ascii="宋体" w:hAnsi="宋体" w:eastAsia="宋体"/>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1612</Words>
  <Characters>1800</Characters>
  <Lines>10</Lines>
  <Paragraphs>2</Paragraphs>
  <TotalTime>2</TotalTime>
  <ScaleCrop>false</ScaleCrop>
  <LinksUpToDate>false</LinksUpToDate>
  <CharactersWithSpaces>1881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LLJ</dc:creator>
  <cp:lastModifiedBy>澄琳呀Lclin</cp:lastModifiedBy>
  <cp:lastPrinted>2019-06-11T07:25:00Z</cp:lastPrinted>
  <dcterms:modified xsi:type="dcterms:W3CDTF">2023-06-15T12:03:32Z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CF4065E8EEA346A2BF2C771B348635A5_12</vt:lpwstr>
  </property>
</Properties>
</file>