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eastAsia="仿宋" w:cs="方正小标宋简体"/>
          <w:color w:val="000000" w:themeColor="text1"/>
          <w:sz w:val="32"/>
          <w:szCs w:val="32"/>
          <w14:textFill>
            <w14:solidFill>
              <w14:schemeClr w14:val="tx1"/>
            </w14:solidFill>
          </w14:textFill>
        </w:rPr>
      </w:pPr>
      <w:bookmarkStart w:id="0" w:name="_Toc486924194"/>
      <w:r>
        <w:rPr>
          <w:rFonts w:hint="eastAsia" w:ascii="仿宋" w:hAnsi="仿宋" w:eastAsia="仿宋" w:cs="方正小标宋简体"/>
          <w:b/>
          <w:bCs/>
          <w:color w:val="000000" w:themeColor="text1"/>
          <w:kern w:val="44"/>
          <w:sz w:val="32"/>
          <w:szCs w:val="32"/>
          <w14:textFill>
            <w14:solidFill>
              <w14:schemeClr w14:val="tx1"/>
            </w14:solidFill>
          </w14:textFill>
        </w:rPr>
        <w:t>第一章</w:t>
      </w:r>
      <w:bookmarkEnd w:id="0"/>
      <w:r>
        <w:rPr>
          <w:rFonts w:hint="eastAsia" w:ascii="仿宋" w:hAnsi="仿宋" w:eastAsia="仿宋" w:cs="方正小标宋简体"/>
          <w:b/>
          <w:bCs/>
          <w:color w:val="000000" w:themeColor="text1"/>
          <w:kern w:val="44"/>
          <w:sz w:val="32"/>
          <w:szCs w:val="32"/>
          <w14:textFill>
            <w14:solidFill>
              <w14:schemeClr w14:val="tx1"/>
            </w14:solidFill>
          </w14:textFill>
        </w:rPr>
        <w:t>公告</w:t>
      </w:r>
    </w:p>
    <w:p>
      <w:pPr>
        <w:jc w:val="center"/>
        <w:rPr>
          <w:rFonts w:ascii="仿宋" w:hAnsi="仿宋" w:eastAsia="仿宋"/>
          <w:b/>
          <w:bCs/>
          <w:color w:val="000000" w:themeColor="text1"/>
          <w:sz w:val="32"/>
          <w:szCs w:val="32"/>
          <w14:textFill>
            <w14:solidFill>
              <w14:schemeClr w14:val="tx1"/>
            </w14:solidFill>
          </w14:textFill>
        </w:rPr>
      </w:pPr>
      <w:bookmarkStart w:id="1" w:name="_Toc204055778"/>
      <w:bookmarkStart w:id="2" w:name="_Toc234382570"/>
      <w:bookmarkStart w:id="3" w:name="_Toc344732466"/>
      <w:bookmarkStart w:id="4" w:name="_Toc243796160"/>
      <w:bookmarkStart w:id="5" w:name="_Toc222740105"/>
      <w:bookmarkStart w:id="6" w:name="_Toc245379316"/>
      <w:bookmarkStart w:id="7" w:name="_Toc243402045"/>
      <w:r>
        <w:rPr>
          <w:rFonts w:hint="eastAsia" w:ascii="仿宋" w:hAnsi="仿宋" w:eastAsia="仿宋"/>
          <w:b/>
          <w:bCs/>
          <w:color w:val="000000" w:themeColor="text1"/>
          <w:sz w:val="32"/>
          <w:szCs w:val="32"/>
          <w14:textFill>
            <w14:solidFill>
              <w14:schemeClr w14:val="tx1"/>
            </w14:solidFill>
          </w14:textFill>
        </w:rPr>
        <w:t>龙浦高速、武邵高速、延顺高速、邵光高速、顺邵高速</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cs="Times New Roman"/>
          <w:b/>
          <w:bCs/>
          <w:color w:val="000000" w:themeColor="text1"/>
          <w:sz w:val="32"/>
          <w:szCs w:val="32"/>
          <w:u w:val="none"/>
          <w:lang w:eastAsia="zh-CN"/>
          <w14:textFill>
            <w14:solidFill>
              <w14:schemeClr w14:val="tx1"/>
            </w14:solidFill>
          </w14:textFill>
        </w:rPr>
        <w:t>武沙高速合掌岩</w:t>
      </w:r>
      <w:r>
        <w:rPr>
          <w:rFonts w:hint="eastAsia" w:ascii="仿宋" w:hAnsi="仿宋" w:eastAsia="仿宋" w:cs="Times New Roman"/>
          <w:b/>
          <w:bCs/>
          <w:color w:val="000000" w:themeColor="text1"/>
          <w:sz w:val="32"/>
          <w:szCs w:val="32"/>
          <w14:textFill>
            <w14:solidFill>
              <w14:schemeClr w14:val="tx1"/>
            </w14:solidFill>
          </w14:textFill>
        </w:rPr>
        <w:t>互通</w:t>
      </w:r>
      <w:r>
        <w:rPr>
          <w:rFonts w:hint="eastAsia" w:ascii="仿宋" w:hAnsi="仿宋" w:eastAsia="仿宋"/>
          <w:b/>
          <w:bCs/>
          <w:color w:val="000000" w:themeColor="text1"/>
          <w:sz w:val="32"/>
          <w:szCs w:val="32"/>
          <w14:textFill>
            <w14:solidFill>
              <w14:schemeClr w14:val="tx1"/>
            </w14:solidFill>
          </w14:textFill>
        </w:rPr>
        <w:t>日常</w:t>
      </w:r>
      <w:r>
        <w:rPr>
          <w:rFonts w:hint="eastAsia" w:ascii="仿宋" w:hAnsi="仿宋" w:eastAsia="仿宋"/>
          <w:b/>
          <w:bCs/>
          <w:color w:val="000000" w:themeColor="text1"/>
          <w:sz w:val="32"/>
          <w:szCs w:val="32"/>
          <w:lang w:val="en-US" w:eastAsia="zh-CN"/>
          <w14:textFill>
            <w14:solidFill>
              <w14:schemeClr w14:val="tx1"/>
            </w14:solidFill>
          </w14:textFill>
        </w:rPr>
        <w:t>养护工程</w:t>
      </w:r>
      <w:r>
        <w:rPr>
          <w:rFonts w:hint="eastAsia" w:ascii="仿宋" w:hAnsi="仿宋" w:eastAsia="仿宋"/>
          <w:b/>
          <w:bCs/>
          <w:color w:val="000000" w:themeColor="text1"/>
          <w:sz w:val="32"/>
          <w:szCs w:val="32"/>
          <w14:textFill>
            <w14:solidFill>
              <w14:schemeClr w14:val="tx1"/>
            </w14:solidFill>
          </w14:textFill>
        </w:rPr>
        <w:t>班组选择公告</w:t>
      </w:r>
    </w:p>
    <w:p>
      <w:pPr>
        <w:spacing w:line="360" w:lineRule="auto"/>
        <w:ind w:firstLine="624" w:firstLineChars="200"/>
        <w:jc w:val="left"/>
        <w:rPr>
          <w:rFonts w:ascii="仿宋" w:hAnsi="仿宋" w:eastAsia="仿宋"/>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u w:val="single"/>
          <w14:textFill>
            <w14:solidFill>
              <w14:schemeClr w14:val="tx1"/>
            </w14:solidFill>
          </w14:textFill>
        </w:rPr>
        <w:t>龙浦高速、武邵高速、延顺高速、邵光高速、顺邵高速</w:t>
      </w:r>
      <w:r>
        <w:rPr>
          <w:rFonts w:hint="eastAsia" w:ascii="仿宋_GB2312" w:hAnsi="仿宋_GB2312" w:eastAsia="仿宋_GB2312" w:cs="仿宋_GB2312"/>
          <w:color w:val="000000" w:themeColor="text1"/>
          <w:spacing w:val="-4"/>
          <w:sz w:val="32"/>
          <w:szCs w:val="32"/>
          <w:u w:val="single"/>
          <w:lang w:eastAsia="zh-CN"/>
          <w14:textFill>
            <w14:solidFill>
              <w14:schemeClr w14:val="tx1"/>
            </w14:solidFill>
          </w14:textFill>
        </w:rPr>
        <w:t>、</w:t>
      </w:r>
      <w:r>
        <w:rPr>
          <w:rFonts w:hint="eastAsia" w:ascii="仿宋_GB2312" w:hAnsi="仿宋_GB2312" w:eastAsia="仿宋_GB2312" w:cs="仿宋_GB2312"/>
          <w:sz w:val="32"/>
          <w:szCs w:val="32"/>
          <w:highlight w:val="none"/>
          <w:u w:val="single"/>
          <w:lang w:eastAsia="zh-CN"/>
        </w:rPr>
        <w:t>武沙高速合掌岩</w:t>
      </w:r>
      <w:r>
        <w:rPr>
          <w:rFonts w:hint="eastAsia" w:ascii="仿宋_GB2312" w:hAnsi="仿宋_GB2312" w:eastAsia="仿宋_GB2312" w:cs="仿宋_GB2312"/>
          <w:sz w:val="32"/>
          <w:szCs w:val="32"/>
          <w:highlight w:val="none"/>
          <w:u w:val="single"/>
        </w:rPr>
        <w:t>互通</w:t>
      </w:r>
      <w:r>
        <w:rPr>
          <w:rFonts w:hint="eastAsia" w:ascii="仿宋_GB2312" w:hAnsi="仿宋_GB2312" w:eastAsia="仿宋_GB2312" w:cs="仿宋_GB2312"/>
          <w:color w:val="000000" w:themeColor="text1"/>
          <w:spacing w:val="-4"/>
          <w:sz w:val="32"/>
          <w:szCs w:val="32"/>
          <w:u w:val="single"/>
          <w14:textFill>
            <w14:solidFill>
              <w14:schemeClr w14:val="tx1"/>
            </w14:solidFill>
          </w14:textFill>
        </w:rPr>
        <w:t>日常</w:t>
      </w:r>
      <w:r>
        <w:rPr>
          <w:rFonts w:hint="eastAsia" w:ascii="仿宋_GB2312" w:hAnsi="仿宋_GB2312" w:eastAsia="仿宋_GB2312" w:cs="仿宋_GB2312"/>
          <w:color w:val="000000" w:themeColor="text1"/>
          <w:spacing w:val="-4"/>
          <w:sz w:val="32"/>
          <w:szCs w:val="32"/>
          <w:u w:val="single"/>
          <w:lang w:eastAsia="zh-CN"/>
          <w14:textFill>
            <w14:solidFill>
              <w14:schemeClr w14:val="tx1"/>
            </w14:solidFill>
          </w14:textFill>
        </w:rPr>
        <w:t>养护</w:t>
      </w:r>
      <w:r>
        <w:rPr>
          <w:rFonts w:hint="eastAsia" w:ascii="仿宋_GB2312" w:hAnsi="仿宋_GB2312" w:eastAsia="仿宋_GB2312" w:cs="仿宋_GB2312"/>
          <w:color w:val="000000" w:themeColor="text1"/>
          <w:spacing w:val="-4"/>
          <w:sz w:val="32"/>
          <w:szCs w:val="32"/>
          <w:u w:val="single"/>
          <w14:textFill>
            <w14:solidFill>
              <w14:schemeClr w14:val="tx1"/>
            </w14:solidFill>
          </w14:textFill>
        </w:rPr>
        <w:t>工程</w:t>
      </w:r>
      <w:r>
        <w:rPr>
          <w:rFonts w:hint="eastAsia" w:ascii="仿宋_GB2312" w:hAnsi="仿宋_GB2312" w:eastAsia="仿宋_GB2312" w:cs="仿宋_GB2312"/>
          <w:color w:val="000000" w:themeColor="text1"/>
          <w:spacing w:val="-4"/>
          <w:sz w:val="32"/>
          <w:szCs w:val="32"/>
          <w14:textFill>
            <w14:solidFill>
              <w14:schemeClr w14:val="tx1"/>
            </w14:solidFill>
          </w14:textFill>
        </w:rPr>
        <w:t>由南平武夷集团所属子公司南平市高建养护工程有限公司承建。现根据集团公司《施工班组选择管理办法</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4"/>
          <w:sz w:val="32"/>
          <w:szCs w:val="32"/>
          <w14:textFill>
            <w14:solidFill>
              <w14:schemeClr w14:val="tx1"/>
            </w14:solidFill>
          </w14:textFill>
        </w:rPr>
        <w:t>2020修订稿</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4"/>
          <w:sz w:val="32"/>
          <w:szCs w:val="32"/>
          <w14:textFill>
            <w14:solidFill>
              <w14:schemeClr w14:val="tx1"/>
            </w14:solidFill>
          </w14:textFill>
        </w:rPr>
        <w:t>》，制定如下选择方案。</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bookmarkStart w:id="8" w:name="_Toc234382576"/>
      <w:r>
        <w:rPr>
          <w:rFonts w:hint="eastAsia" w:ascii="黑体" w:hAnsi="黑体" w:eastAsia="黑体" w:cs="黑体"/>
          <w:color w:val="000000" w:themeColor="text1"/>
          <w:sz w:val="32"/>
          <w:szCs w:val="32"/>
          <w14:textFill>
            <w14:solidFill>
              <w14:schemeClr w14:val="tx1"/>
            </w14:solidFill>
          </w14:textFill>
        </w:rPr>
        <w:t>一、项目概况</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（一）工程名称</w:t>
      </w:r>
    </w:p>
    <w:p>
      <w:pPr>
        <w:spacing w:line="58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、龙浦高速日常养护工程。</w:t>
      </w:r>
    </w:p>
    <w:p>
      <w:pPr>
        <w:spacing w:line="58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、武邵高速（麻沙段）日常养护工程。</w:t>
      </w:r>
    </w:p>
    <w:p>
      <w:pPr>
        <w:spacing w:line="58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、武邵高速（邵武西段）日常养护工程。</w:t>
      </w:r>
    </w:p>
    <w:p>
      <w:pPr>
        <w:spacing w:line="58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、延顺高速日常养护工程。</w:t>
      </w:r>
    </w:p>
    <w:p>
      <w:pPr>
        <w:spacing w:line="58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、邵光高速日常养护工程。</w:t>
      </w:r>
    </w:p>
    <w:p>
      <w:pPr>
        <w:spacing w:line="58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、顺邵高速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武沙高速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合掌岩互通</w:t>
      </w:r>
      <w:r>
        <w:rPr>
          <w:rFonts w:hint="eastAsia" w:ascii="仿宋_GB2312" w:hAnsi="仿宋_GB2312" w:eastAsia="仿宋_GB2312" w:cs="仿宋_GB2312"/>
          <w:bCs/>
          <w:color w:val="000000" w:themeColor="text1"/>
          <w:sz w:val="32"/>
          <w:szCs w:val="32"/>
          <w14:textFill>
            <w14:solidFill>
              <w14:schemeClr w14:val="tx1"/>
            </w14:solidFill>
          </w14:textFill>
        </w:rPr>
        <w:t>日常养护工程。</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（二）施工内容</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、日常普修：</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）路基边坡人工保洁；（</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）涵洞清理；（</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）截水沟、排水沟、边沟、上下边坡平台清理；（</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）隧道缝隙式水沟清理及轮廓标、标志牌擦洗；（</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）桥梁墩台下部垃圾清理；（</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）上、下边坡修剪等。</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、小水毁、小专项工程：</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小水毁工程指在日常养护管理中发现的属于日常养护合同范围内的水毁缺陷修复包括沿线土石方的清除以及路基及构造物零星修复。小专项工程主要是指日常养护合同范围外的小于</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万元的专项工程。上述工程由甲方项目组技术人员或养护站人员发现并下达任务通知书后进行修复。</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、绿化养护工作内容</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hint="eastAsia" w:ascii="仿宋_GB2312" w:hAnsi="仿宋_GB2312" w:eastAsia="仿宋_GB2312" w:cs="仿宋_GB2312"/>
          <w:bCs/>
          <w:color w:val="000000" w:themeColor="text1"/>
          <w:kern w:val="0"/>
          <w:sz w:val="32"/>
          <w:szCs w:val="32"/>
          <w14:textFill>
            <w14:solidFill>
              <w14:schemeClr w14:val="tx1"/>
            </w14:solidFill>
          </w14:textFill>
        </w:rPr>
        <w:t>高速公路绿化养护承包合同单价清单</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（三）项目施工范围</w:t>
      </w:r>
    </w:p>
    <w:p>
      <w:pPr>
        <w:spacing w:line="580" w:lineRule="exact"/>
        <w:ind w:firstLine="640" w:firstLineChars="200"/>
        <w:rPr>
          <w:rFonts w:hint="eastAsia" w:ascii="仿宋" w:hAnsi="仿宋"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龙浦高速、武邵高速、延顺高速、邵光高速、顺邵高速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武沙高速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合掌岩互通。</w:t>
      </w:r>
    </w:p>
    <w:p>
      <w:pPr>
        <w:spacing w:line="58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（四）工程造价</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根据固定清单单价按实际发生工作量计（清单单价见合同格式后附件）</w:t>
      </w:r>
    </w:p>
    <w:p>
      <w:pPr>
        <w:spacing w:line="580" w:lineRule="exact"/>
        <w:ind w:firstLine="640"/>
        <w:jc w:val="left"/>
        <w:rPr>
          <w:rFonts w:ascii="仿宋" w:hAnsi="仿宋" w:eastAsia="仿宋"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二、资格要求</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属于武夷集团有限公司养护类班组库日常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类班组；</w:t>
      </w:r>
    </w:p>
    <w:p>
      <w:pPr>
        <w:spacing w:beforeLines="100" w:afterLines="100" w:line="580" w:lineRule="exact"/>
        <w:ind w:firstLine="640" w:firstLineChars="200"/>
        <w:jc w:val="left"/>
        <w:rPr>
          <w:rFonts w:hint="eastAsia" w:ascii="Times New Roman" w:eastAsia="黑体"/>
          <w:bCs w:val="0"/>
          <w:kern w:val="0"/>
          <w:sz w:val="32"/>
          <w:szCs w:val="20"/>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拟派出的现场负责人需提交本人在本公司近</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个月中至少连续</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个月的社保证明。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(近6个月指2021年6月至今)    </w:t>
      </w:r>
      <w:r>
        <w:rPr>
          <w:rFonts w:hint="eastAsia" w:eastAsia="黑体"/>
          <w:kern w:val="0"/>
          <w:sz w:val="32"/>
          <w:szCs w:val="20"/>
          <w:lang w:eastAsia="zh-CN"/>
        </w:rPr>
        <w:t>日常养护各</w:t>
      </w:r>
      <w:r>
        <w:rPr>
          <w:rFonts w:hint="eastAsia" w:ascii="Times New Roman" w:eastAsia="黑体"/>
          <w:kern w:val="0"/>
          <w:sz w:val="32"/>
          <w:szCs w:val="20"/>
        </w:rPr>
        <w:t>标段施工</w:t>
      </w:r>
      <w:r>
        <w:rPr>
          <w:rFonts w:hint="eastAsia" w:eastAsia="黑体"/>
          <w:kern w:val="0"/>
          <w:sz w:val="32"/>
          <w:szCs w:val="20"/>
          <w:lang w:eastAsia="zh-CN"/>
        </w:rPr>
        <w:t>人员</w:t>
      </w:r>
      <w:r>
        <w:rPr>
          <w:rFonts w:hint="eastAsia" w:ascii="Times New Roman" w:eastAsia="黑体"/>
          <w:kern w:val="0"/>
          <w:sz w:val="32"/>
          <w:szCs w:val="20"/>
        </w:rPr>
        <w:t>机械</w:t>
      </w:r>
      <w:r>
        <w:rPr>
          <w:rFonts w:hint="eastAsia" w:ascii="Times New Roman" w:eastAsia="黑体"/>
          <w:bCs w:val="0"/>
          <w:kern w:val="0"/>
          <w:sz w:val="32"/>
          <w:szCs w:val="20"/>
        </w:rPr>
        <w:t>设备最低要求</w:t>
      </w:r>
    </w:p>
    <w:tbl>
      <w:tblPr>
        <w:tblStyle w:val="6"/>
        <w:tblW w:w="7758"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05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863" w:type="dxa"/>
            <w:noWrap/>
            <w:vAlign w:val="center"/>
          </w:tcPr>
          <w:p>
            <w:pPr>
              <w:jc w:val="center"/>
              <w:rPr>
                <w:rFonts w:ascii="宋体" w:hAnsi="宋体"/>
                <w:bCs/>
                <w:color w:val="000000"/>
                <w:sz w:val="24"/>
              </w:rPr>
            </w:pPr>
            <w:r>
              <w:rPr>
                <w:rFonts w:hint="eastAsia" w:ascii="宋体" w:hAnsi="宋体"/>
                <w:bCs/>
                <w:color w:val="000000"/>
                <w:sz w:val="24"/>
              </w:rPr>
              <w:t>岗位名称</w:t>
            </w:r>
          </w:p>
        </w:tc>
        <w:tc>
          <w:tcPr>
            <w:tcW w:w="1050" w:type="dxa"/>
            <w:noWrap/>
            <w:vAlign w:val="center"/>
          </w:tcPr>
          <w:p>
            <w:pPr>
              <w:jc w:val="center"/>
              <w:rPr>
                <w:rFonts w:hint="eastAsia" w:ascii="宋体" w:hAnsi="宋体" w:eastAsia="宋体"/>
                <w:bCs/>
                <w:color w:val="000000"/>
                <w:sz w:val="24"/>
                <w:lang w:eastAsia="zh-CN"/>
              </w:rPr>
            </w:pPr>
            <w:r>
              <w:rPr>
                <w:rFonts w:hint="eastAsia" w:ascii="宋体" w:hAnsi="宋体" w:cs="宋体"/>
                <w:color w:val="000000"/>
                <w:sz w:val="24"/>
              </w:rPr>
              <w:t>数  量</w:t>
            </w:r>
          </w:p>
        </w:tc>
        <w:tc>
          <w:tcPr>
            <w:tcW w:w="4845" w:type="dxa"/>
            <w:noWrap/>
            <w:vAlign w:val="center"/>
          </w:tcPr>
          <w:p>
            <w:pPr>
              <w:jc w:val="center"/>
              <w:rPr>
                <w:rFonts w:hint="eastAsia" w:ascii="宋体" w:hAnsi="宋体" w:eastAsia="宋体"/>
                <w:bCs/>
                <w:color w:val="000000"/>
                <w:sz w:val="24"/>
                <w:lang w:eastAsia="zh-CN"/>
              </w:rPr>
            </w:pPr>
            <w:r>
              <w:rPr>
                <w:rFonts w:hint="eastAsia" w:ascii="宋体" w:hAnsi="宋体" w:cs="宋体"/>
                <w:color w:val="000000"/>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1863" w:type="dxa"/>
            <w:noWrap/>
            <w:vAlign w:val="top"/>
          </w:tcPr>
          <w:p>
            <w:pPr>
              <w:jc w:val="center"/>
              <w:rPr>
                <w:rFonts w:ascii="宋体" w:hAnsi="宋体"/>
                <w:bCs/>
                <w:color w:val="000000"/>
                <w:sz w:val="24"/>
              </w:rPr>
            </w:pPr>
            <w:r>
              <w:rPr>
                <w:rFonts w:hint="eastAsia" w:ascii="宋体" w:hAnsi="宋体"/>
                <w:bCs/>
                <w:color w:val="000000"/>
                <w:sz w:val="24"/>
                <w:lang w:val="en-US" w:eastAsia="zh-CN"/>
              </w:rPr>
              <w:t>项目经理</w:t>
            </w:r>
          </w:p>
        </w:tc>
        <w:tc>
          <w:tcPr>
            <w:tcW w:w="1050" w:type="dxa"/>
            <w:noWrap/>
          </w:tcPr>
          <w:p>
            <w:pPr>
              <w:jc w:val="center"/>
              <w:rPr>
                <w:rFonts w:ascii="宋体" w:hAnsi="宋体"/>
                <w:bCs/>
                <w:color w:val="000000"/>
                <w:sz w:val="24"/>
              </w:rPr>
            </w:pPr>
            <w:r>
              <w:rPr>
                <w:rFonts w:hint="eastAsia" w:ascii="宋体" w:hAnsi="宋体"/>
                <w:bCs/>
                <w:color w:val="000000"/>
                <w:sz w:val="24"/>
                <w:lang w:val="en-US" w:eastAsia="zh-CN"/>
              </w:rPr>
              <w:t>1人</w:t>
            </w:r>
          </w:p>
        </w:tc>
        <w:tc>
          <w:tcPr>
            <w:tcW w:w="4845" w:type="dxa"/>
            <w:noWrap/>
          </w:tcPr>
          <w:p>
            <w:pPr>
              <w:rPr>
                <w:rFonts w:ascii="宋体" w:hAnsi="宋体"/>
                <w:bCs/>
                <w:color w:val="000000"/>
                <w:sz w:val="24"/>
              </w:rPr>
            </w:pPr>
            <w:r>
              <w:rPr>
                <w:rFonts w:hint="eastAsia" w:ascii="宋体" w:hAnsi="宋体" w:cs="宋体"/>
                <w:sz w:val="24"/>
                <w:lang w:eastAsia="zh-CN"/>
              </w:rPr>
              <w:t>应</w:t>
            </w:r>
            <w:r>
              <w:rPr>
                <w:rFonts w:hint="eastAsia" w:ascii="宋体" w:hAnsi="宋体" w:cs="宋体"/>
                <w:sz w:val="24"/>
              </w:rPr>
              <w:t>具备有效的二级及以上公路工程或市政工程专业的建造师注册证书，持有行政主管部门核发的有效安全生产考核合格证书B证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exact"/>
        </w:trPr>
        <w:tc>
          <w:tcPr>
            <w:tcW w:w="1863" w:type="dxa"/>
            <w:noWrap/>
            <w:vAlign w:val="top"/>
          </w:tcPr>
          <w:p>
            <w:pPr>
              <w:jc w:val="center"/>
              <w:rPr>
                <w:rFonts w:ascii="宋体" w:hAnsi="宋体"/>
                <w:bCs/>
                <w:color w:val="000000"/>
                <w:sz w:val="24"/>
              </w:rPr>
            </w:pPr>
            <w:r>
              <w:rPr>
                <w:rFonts w:hint="eastAsia" w:ascii="宋体" w:hAnsi="宋体"/>
                <w:bCs/>
                <w:color w:val="000000"/>
                <w:sz w:val="24"/>
                <w:lang w:eastAsia="zh-CN"/>
              </w:rPr>
              <w:t>技术负责人</w:t>
            </w:r>
          </w:p>
        </w:tc>
        <w:tc>
          <w:tcPr>
            <w:tcW w:w="1050" w:type="dxa"/>
            <w:noWrap/>
          </w:tcPr>
          <w:p>
            <w:pPr>
              <w:jc w:val="center"/>
              <w:rPr>
                <w:rFonts w:ascii="宋体" w:hAnsi="宋体"/>
                <w:bCs/>
                <w:color w:val="000000"/>
                <w:sz w:val="24"/>
              </w:rPr>
            </w:pPr>
            <w:r>
              <w:rPr>
                <w:rFonts w:hint="eastAsia" w:ascii="宋体" w:hAnsi="宋体"/>
                <w:bCs/>
                <w:color w:val="000000"/>
                <w:sz w:val="24"/>
                <w:lang w:val="en-US" w:eastAsia="zh-CN"/>
              </w:rPr>
              <w:t>1人</w:t>
            </w:r>
          </w:p>
        </w:tc>
        <w:tc>
          <w:tcPr>
            <w:tcW w:w="4845" w:type="dxa"/>
            <w:noWrap/>
          </w:tcPr>
          <w:p>
            <w:pPr>
              <w:rPr>
                <w:rFonts w:ascii="宋体" w:hAnsi="宋体"/>
                <w:bCs/>
                <w:color w:val="000000"/>
                <w:sz w:val="24"/>
              </w:rPr>
            </w:pPr>
            <w:r>
              <w:rPr>
                <w:rFonts w:hint="eastAsia" w:ascii="宋体" w:hAnsi="宋体" w:cs="宋体"/>
                <w:sz w:val="24"/>
              </w:rPr>
              <w:t>应具有</w:t>
            </w:r>
            <w:r>
              <w:rPr>
                <w:rFonts w:hint="eastAsia" w:ascii="宋体" w:hAnsi="宋体" w:cs="宋体"/>
                <w:sz w:val="24"/>
                <w:lang w:eastAsia="zh-CN"/>
              </w:rPr>
              <w:t>路桥类</w:t>
            </w:r>
            <w:r>
              <w:rPr>
                <w:rFonts w:hint="eastAsia" w:ascii="宋体" w:hAnsi="宋体" w:cs="宋体"/>
                <w:sz w:val="24"/>
              </w:rPr>
              <w:t>专业中级工程师或以上职称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863" w:type="dxa"/>
            <w:noWrap/>
            <w:vAlign w:val="top"/>
          </w:tcPr>
          <w:p>
            <w:pPr>
              <w:jc w:val="center"/>
              <w:rPr>
                <w:rFonts w:ascii="宋体" w:hAnsi="宋体"/>
                <w:bCs/>
                <w:color w:val="000000"/>
                <w:sz w:val="24"/>
              </w:rPr>
            </w:pPr>
            <w:r>
              <w:rPr>
                <w:rFonts w:hint="eastAsia" w:ascii="宋体" w:hAnsi="宋体"/>
                <w:bCs/>
                <w:color w:val="000000"/>
                <w:sz w:val="24"/>
                <w:lang w:eastAsia="zh-CN"/>
              </w:rPr>
              <w:t>安全员</w:t>
            </w:r>
          </w:p>
        </w:tc>
        <w:tc>
          <w:tcPr>
            <w:tcW w:w="1050" w:type="dxa"/>
            <w:noWrap/>
          </w:tcPr>
          <w:p>
            <w:pPr>
              <w:jc w:val="center"/>
              <w:rPr>
                <w:rFonts w:ascii="宋体" w:hAnsi="宋体"/>
                <w:bCs/>
                <w:color w:val="000000"/>
                <w:sz w:val="24"/>
              </w:rPr>
            </w:pPr>
            <w:r>
              <w:rPr>
                <w:rFonts w:hint="eastAsia" w:ascii="宋体" w:hAnsi="宋体"/>
                <w:bCs/>
                <w:color w:val="000000"/>
                <w:sz w:val="24"/>
                <w:lang w:val="en-US" w:eastAsia="zh-CN"/>
              </w:rPr>
              <w:t>1人</w:t>
            </w:r>
          </w:p>
        </w:tc>
        <w:tc>
          <w:tcPr>
            <w:tcW w:w="4845" w:type="dxa"/>
            <w:noWrap/>
          </w:tcPr>
          <w:p>
            <w:pPr>
              <w:rPr>
                <w:rFonts w:ascii="宋体" w:hAnsi="宋体"/>
                <w:bCs/>
                <w:color w:val="000000"/>
                <w:sz w:val="24"/>
              </w:rPr>
            </w:pPr>
            <w:r>
              <w:rPr>
                <w:rFonts w:hint="eastAsia" w:ascii="宋体" w:hAnsi="宋体" w:cs="宋体"/>
                <w:sz w:val="24"/>
              </w:rPr>
              <w:t>持有交通</w:t>
            </w:r>
            <w:r>
              <w:rPr>
                <w:rFonts w:hint="eastAsia" w:ascii="宋体" w:hAnsi="宋体" w:cs="宋体"/>
                <w:sz w:val="24"/>
                <w:lang w:eastAsia="zh-CN"/>
              </w:rPr>
              <w:t>或建设</w:t>
            </w:r>
            <w:r>
              <w:rPr>
                <w:rFonts w:hint="eastAsia" w:ascii="宋体" w:hAnsi="宋体" w:cs="宋体"/>
                <w:sz w:val="24"/>
              </w:rPr>
              <w:t>主管部门颁发的有效的公路工程安全生产考核合格证</w:t>
            </w:r>
            <w:r>
              <w:rPr>
                <w:rFonts w:hint="eastAsia" w:ascii="宋体" w:hAnsi="宋体" w:cs="宋体"/>
                <w:sz w:val="24"/>
                <w:lang w:val="en-US" w:eastAsia="zh-CN"/>
              </w:rPr>
              <w:t>C</w:t>
            </w:r>
            <w:r>
              <w:rPr>
                <w:rFonts w:hint="eastAsia" w:ascii="宋体" w:hAnsi="宋体" w:cs="宋体"/>
                <w:sz w:val="24"/>
              </w:rPr>
              <w:t>类</w:t>
            </w:r>
          </w:p>
        </w:tc>
      </w:tr>
    </w:tbl>
    <w:p>
      <w:pPr>
        <w:numPr>
          <w:ilvl w:val="-1"/>
          <w:numId w:val="0"/>
        </w:numPr>
      </w:pPr>
    </w:p>
    <w:tbl>
      <w:tblPr>
        <w:tblStyle w:val="6"/>
        <w:tblW w:w="0" w:type="auto"/>
        <w:tblInd w:w="474" w:type="dxa"/>
        <w:tblLayout w:type="fixed"/>
        <w:tblCellMar>
          <w:top w:w="0" w:type="dxa"/>
          <w:left w:w="108" w:type="dxa"/>
          <w:bottom w:w="0" w:type="dxa"/>
          <w:right w:w="108" w:type="dxa"/>
        </w:tblCellMar>
      </w:tblPr>
      <w:tblGrid>
        <w:gridCol w:w="780"/>
        <w:gridCol w:w="2130"/>
        <w:gridCol w:w="1485"/>
        <w:gridCol w:w="945"/>
        <w:gridCol w:w="1680"/>
        <w:gridCol w:w="825"/>
      </w:tblGrid>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序号</w:t>
            </w:r>
          </w:p>
        </w:tc>
        <w:tc>
          <w:tcPr>
            <w:tcW w:w="213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机械设备名称</w:t>
            </w:r>
          </w:p>
        </w:tc>
        <w:tc>
          <w:tcPr>
            <w:tcW w:w="148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型号</w:t>
            </w:r>
          </w:p>
        </w:tc>
        <w:tc>
          <w:tcPr>
            <w:tcW w:w="94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单位</w:t>
            </w:r>
          </w:p>
        </w:tc>
        <w:tc>
          <w:tcPr>
            <w:tcW w:w="16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每个标段至少</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备注</w:t>
            </w:r>
          </w:p>
        </w:tc>
      </w:tr>
      <w:tr>
        <w:tblPrEx>
          <w:tblCellMar>
            <w:top w:w="0" w:type="dxa"/>
            <w:left w:w="108" w:type="dxa"/>
            <w:bottom w:w="0" w:type="dxa"/>
            <w:right w:w="108" w:type="dxa"/>
          </w:tblCellMar>
        </w:tblPrEx>
        <w:trPr>
          <w:trHeight w:val="552"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1</w:t>
            </w:r>
          </w:p>
        </w:tc>
        <w:tc>
          <w:tcPr>
            <w:tcW w:w="213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皮卡车</w:t>
            </w:r>
          </w:p>
        </w:tc>
        <w:tc>
          <w:tcPr>
            <w:tcW w:w="148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0.5-1t</w:t>
            </w:r>
          </w:p>
        </w:tc>
        <w:tc>
          <w:tcPr>
            <w:tcW w:w="94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台</w:t>
            </w:r>
          </w:p>
        </w:tc>
        <w:tc>
          <w:tcPr>
            <w:tcW w:w="168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1</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2</w:t>
            </w:r>
          </w:p>
        </w:tc>
        <w:tc>
          <w:tcPr>
            <w:tcW w:w="213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lang w:eastAsia="zh-CN"/>
              </w:rPr>
              <w:t>自卸汽</w:t>
            </w:r>
            <w:r>
              <w:rPr>
                <w:rFonts w:hint="eastAsia" w:ascii="宋体" w:hAnsi="宋体" w:cs="宋体"/>
                <w:color w:val="000000"/>
                <w:sz w:val="24"/>
              </w:rPr>
              <w:t>车</w:t>
            </w:r>
          </w:p>
        </w:tc>
        <w:tc>
          <w:tcPr>
            <w:tcW w:w="148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lang w:eastAsia="zh-CN"/>
              </w:rPr>
              <w:t>吨</w:t>
            </w:r>
            <w:r>
              <w:rPr>
                <w:rFonts w:hint="eastAsia" w:ascii="宋体" w:hAnsi="宋体" w:cs="宋体"/>
                <w:color w:val="000000"/>
                <w:sz w:val="24"/>
              </w:rPr>
              <w:t>以上</w:t>
            </w:r>
          </w:p>
        </w:tc>
        <w:tc>
          <w:tcPr>
            <w:tcW w:w="94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sz w:val="24"/>
              </w:rPr>
            </w:pPr>
            <w:r>
              <w:rPr>
                <w:rFonts w:hint="eastAsia" w:ascii="宋体" w:hAnsi="宋体" w:cs="宋体"/>
                <w:color w:val="000000"/>
                <w:sz w:val="24"/>
              </w:rPr>
              <w:t>台</w:t>
            </w:r>
          </w:p>
        </w:tc>
        <w:tc>
          <w:tcPr>
            <w:tcW w:w="168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lang w:val="en-US" w:eastAsia="zh-CN"/>
              </w:rPr>
              <w:t>2</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3</w:t>
            </w:r>
          </w:p>
        </w:tc>
        <w:tc>
          <w:tcPr>
            <w:tcW w:w="213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小货车</w:t>
            </w:r>
          </w:p>
        </w:tc>
        <w:tc>
          <w:tcPr>
            <w:tcW w:w="148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1.25-1.75t</w:t>
            </w:r>
          </w:p>
        </w:tc>
        <w:tc>
          <w:tcPr>
            <w:tcW w:w="94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sz w:val="24"/>
              </w:rPr>
            </w:pPr>
            <w:r>
              <w:rPr>
                <w:rFonts w:hint="eastAsia" w:ascii="宋体" w:hAnsi="宋体" w:cs="宋体"/>
                <w:color w:val="000000"/>
                <w:sz w:val="24"/>
              </w:rPr>
              <w:t>台</w:t>
            </w:r>
          </w:p>
        </w:tc>
        <w:tc>
          <w:tcPr>
            <w:tcW w:w="168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2</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4</w:t>
            </w:r>
          </w:p>
        </w:tc>
        <w:tc>
          <w:tcPr>
            <w:tcW w:w="213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洒水车</w:t>
            </w:r>
          </w:p>
        </w:tc>
        <w:tc>
          <w:tcPr>
            <w:tcW w:w="148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sz w:val="24"/>
              </w:rPr>
            </w:pPr>
            <w:r>
              <w:rPr>
                <w:rFonts w:hint="eastAsia" w:ascii="宋体" w:hAnsi="宋体" w:cs="宋体"/>
                <w:sz w:val="24"/>
              </w:rPr>
              <w:t>辆</w:t>
            </w:r>
          </w:p>
        </w:tc>
        <w:tc>
          <w:tcPr>
            <w:tcW w:w="168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lang w:val="en-US" w:eastAsia="zh-CN"/>
              </w:rPr>
              <w:t>1</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4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5</w:t>
            </w:r>
          </w:p>
        </w:tc>
        <w:tc>
          <w:tcPr>
            <w:tcW w:w="213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布控牌（</w:t>
            </w:r>
            <w:r>
              <w:rPr>
                <w:rFonts w:hint="eastAsia" w:ascii="宋体" w:hAnsi="宋体" w:cs="宋体"/>
                <w:color w:val="000000"/>
                <w:sz w:val="24"/>
                <w:lang w:val="en-US" w:eastAsia="zh-CN"/>
              </w:rPr>
              <w:t>10</w:t>
            </w:r>
            <w:r>
              <w:rPr>
                <w:rFonts w:hint="eastAsia" w:ascii="宋体" w:hAnsi="宋体" w:cs="宋体"/>
                <w:color w:val="000000"/>
                <w:sz w:val="24"/>
              </w:rPr>
              <w:t>面/套）</w:t>
            </w:r>
          </w:p>
        </w:tc>
        <w:tc>
          <w:tcPr>
            <w:tcW w:w="148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套</w:t>
            </w:r>
          </w:p>
        </w:tc>
        <w:tc>
          <w:tcPr>
            <w:tcW w:w="168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2</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r>
        <w:tblPrEx>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r>
              <w:rPr>
                <w:rFonts w:hint="eastAsia" w:ascii="宋体" w:hAnsi="宋体" w:cs="宋体"/>
                <w:color w:val="000000"/>
                <w:sz w:val="24"/>
              </w:rPr>
              <w:t>6</w:t>
            </w:r>
          </w:p>
        </w:tc>
        <w:tc>
          <w:tcPr>
            <w:tcW w:w="213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锥标</w:t>
            </w:r>
          </w:p>
        </w:tc>
        <w:tc>
          <w:tcPr>
            <w:tcW w:w="148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p>
        </w:tc>
        <w:tc>
          <w:tcPr>
            <w:tcW w:w="945"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rPr>
              <w:t>个</w:t>
            </w:r>
          </w:p>
        </w:tc>
        <w:tc>
          <w:tcPr>
            <w:tcW w:w="1680" w:type="dxa"/>
            <w:tcBorders>
              <w:top w:val="single" w:color="auto" w:sz="4" w:space="0"/>
              <w:left w:val="single" w:color="auto" w:sz="4" w:space="0"/>
              <w:bottom w:val="single" w:color="auto" w:sz="4" w:space="0"/>
              <w:right w:val="single" w:color="auto" w:sz="4" w:space="0"/>
            </w:tcBorders>
            <w:noWrap/>
            <w:vAlign w:val="top"/>
          </w:tcPr>
          <w:p>
            <w:pPr>
              <w:spacing w:line="420" w:lineRule="exact"/>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00</w:t>
            </w:r>
          </w:p>
        </w:tc>
        <w:tc>
          <w:tcPr>
            <w:tcW w:w="825" w:type="dxa"/>
            <w:tcBorders>
              <w:top w:val="single" w:color="auto" w:sz="4" w:space="0"/>
              <w:left w:val="single" w:color="auto" w:sz="4" w:space="0"/>
              <w:bottom w:val="single" w:color="auto" w:sz="4" w:space="0"/>
              <w:right w:val="single" w:color="auto" w:sz="4" w:space="0"/>
            </w:tcBorders>
            <w:noWrap/>
          </w:tcPr>
          <w:p>
            <w:pPr>
              <w:spacing w:line="420" w:lineRule="exact"/>
              <w:rPr>
                <w:rFonts w:ascii="宋体" w:hAnsi="宋体" w:cs="宋体"/>
                <w:color w:val="000000"/>
                <w:sz w:val="24"/>
              </w:rPr>
            </w:pPr>
          </w:p>
        </w:tc>
      </w:tr>
    </w:tbl>
    <w:p>
      <w:pPr>
        <w:spacing w:line="360" w:lineRule="auto"/>
        <w:rPr>
          <w:b/>
          <w:bCs/>
        </w:rPr>
      </w:pPr>
      <w:r>
        <w:rPr>
          <w:rFonts w:hint="eastAsia" w:ascii="宋体" w:hAnsi="宋体" w:cs="宋体"/>
          <w:b/>
          <w:bCs/>
          <w:sz w:val="24"/>
        </w:rPr>
        <w:t>注：投标人应根据工程实际,在本表中列明具体的数量及规格要求，本表不作为资格审查条件，投标人无需提供上述机械设备详细清单，也无需在投标文件中提交本表格；但投标人必须承诺中标后应按本表最低要求的数量和资格投入机械设备。</w:t>
      </w:r>
    </w:p>
    <w:p>
      <w:pPr>
        <w:numPr>
          <w:ilvl w:val="0"/>
          <w:numId w:val="1"/>
        </w:numPr>
        <w:spacing w:line="580" w:lineRule="exact"/>
        <w:ind w:firstLine="64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选择方法：</w:t>
      </w:r>
      <w:r>
        <w:rPr>
          <w:rFonts w:hint="eastAsia" w:ascii="黑体" w:hAnsi="黑体" w:eastAsia="黑体" w:cs="黑体"/>
          <w:color w:val="000000" w:themeColor="text1"/>
          <w:sz w:val="32"/>
          <w:szCs w:val="32"/>
          <w:lang w:eastAsia="zh-CN"/>
          <w14:textFill>
            <w14:solidFill>
              <w14:schemeClr w14:val="tx1"/>
            </w14:solidFill>
          </w14:textFill>
        </w:rPr>
        <w:t>加球</w:t>
      </w:r>
      <w:r>
        <w:rPr>
          <w:rFonts w:hint="eastAsia" w:ascii="黑体" w:hAnsi="黑体" w:eastAsia="黑体" w:cs="黑体"/>
          <w:color w:val="000000" w:themeColor="text1"/>
          <w:sz w:val="32"/>
          <w:szCs w:val="32"/>
          <w14:textFill>
            <w14:solidFill>
              <w14:schemeClr w14:val="tx1"/>
            </w14:solidFill>
          </w14:textFill>
        </w:rPr>
        <w:t>摇球</w:t>
      </w:r>
      <w:r>
        <w:rPr>
          <w:rFonts w:hint="eastAsia" w:ascii="黑体" w:hAnsi="黑体" w:eastAsia="黑体" w:cs="黑体"/>
          <w:color w:val="000000" w:themeColor="text1"/>
          <w:sz w:val="32"/>
          <w:szCs w:val="32"/>
          <w:lang w:eastAsia="zh-CN"/>
          <w14:textFill>
            <w14:solidFill>
              <w14:schemeClr w14:val="tx1"/>
            </w14:solidFill>
          </w14:textFill>
        </w:rPr>
        <w:t>法</w:t>
      </w:r>
    </w:p>
    <w:p>
      <w:pPr>
        <w:spacing w:line="580" w:lineRule="exact"/>
        <w:ind w:firstLine="640" w:firstLineChars="200"/>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南平</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kern w:val="2"/>
          <w:sz w:val="32"/>
          <w:szCs w:val="32"/>
          <w14:textFill>
            <w14:solidFill>
              <w14:schemeClr w14:val="tx1"/>
            </w14:solidFill>
          </w14:textFill>
        </w:rPr>
        <w:t>高建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养护工程</w:t>
      </w:r>
      <w:r>
        <w:rPr>
          <w:rFonts w:hint="eastAsia" w:ascii="仿宋_GB2312" w:hAnsi="仿宋_GB2312" w:eastAsia="仿宋_GB2312" w:cs="仿宋_GB2312"/>
          <w:color w:val="000000" w:themeColor="text1"/>
          <w:kern w:val="2"/>
          <w:sz w:val="32"/>
          <w:szCs w:val="32"/>
          <w14:textFill>
            <w14:solidFill>
              <w14:schemeClr w14:val="tx1"/>
            </w14:solidFill>
          </w14:textFill>
        </w:rPr>
        <w:t>有限公司2019--2020年AA级、A级班组及优秀现场负责人加球政策：AA级信誉班组3个球，A级班组信誉班组2个球，B级信誉班组1个球。</w:t>
      </w:r>
      <w:r>
        <w:rPr>
          <w:rFonts w:hint="eastAsia" w:ascii="仿宋_GB2312" w:hAnsi="仿宋_GB2312" w:eastAsia="仿宋_GB2312" w:cs="仿宋_GB2312"/>
          <w:color w:val="000000" w:themeColor="text1"/>
          <w:kern w:val="2"/>
          <w:sz w:val="32"/>
          <w:szCs w:val="32"/>
          <w:u w:val="none"/>
          <w14:textFill>
            <w14:solidFill>
              <w14:schemeClr w14:val="tx1"/>
            </w14:solidFill>
          </w14:textFill>
        </w:rPr>
        <w:t>AA、A级信誉</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无</w:t>
      </w:r>
      <w:r>
        <w:rPr>
          <w:rFonts w:hint="eastAsia" w:ascii="仿宋_GB2312" w:hAnsi="仿宋_GB2312" w:eastAsia="仿宋_GB2312" w:cs="仿宋_GB2312"/>
          <w:color w:val="000000" w:themeColor="text1"/>
          <w:kern w:val="2"/>
          <w:sz w:val="32"/>
          <w:szCs w:val="32"/>
          <w:u w:val="none"/>
          <w14:textFill>
            <w14:solidFill>
              <w14:schemeClr w14:val="tx1"/>
            </w14:solidFill>
          </w14:textFill>
        </w:rPr>
        <w:t>需申请</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，参与即按约定</w:t>
      </w:r>
      <w:r>
        <w:rPr>
          <w:rFonts w:hint="eastAsia" w:ascii="仿宋_GB2312" w:hAnsi="仿宋_GB2312" w:eastAsia="仿宋_GB2312" w:cs="仿宋_GB2312"/>
          <w:color w:val="000000" w:themeColor="text1"/>
          <w:kern w:val="2"/>
          <w:sz w:val="32"/>
          <w:szCs w:val="32"/>
          <w:u w:val="none"/>
          <w14:textFill>
            <w14:solidFill>
              <w14:schemeClr w14:val="tx1"/>
            </w14:solidFill>
          </w14:textFill>
        </w:rPr>
        <w:t>加球，</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中选不计信誉使用次数。</w:t>
      </w:r>
    </w:p>
    <w:p>
      <w:p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四、报名和选择文件的获取</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凡有意参加选择者，请于</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ascii="仿宋_GB2312" w:hAnsi="仿宋_GB2312" w:eastAsia="仿宋_GB2312" w:cs="仿宋_GB2312"/>
          <w:color w:val="000000" w:themeColor="text1"/>
          <w:sz w:val="32"/>
          <w:szCs w:val="32"/>
          <w14:textFill>
            <w14:solidFill>
              <w14:schemeClr w14:val="tx1"/>
            </w14:solidFill>
          </w14:textFill>
        </w:rPr>
        <w:t xml:space="preserve"> 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ascii="仿宋_GB2312" w:hAnsi="仿宋_GB2312" w:eastAsia="仿宋_GB2312" w:cs="仿宋_GB2312"/>
          <w:color w:val="000000" w:themeColor="text1"/>
          <w:sz w:val="32"/>
          <w:szCs w:val="32"/>
          <w14:textFill>
            <w14:solidFill>
              <w14:schemeClr w14:val="tx1"/>
            </w14:solidFill>
          </w14:textFill>
        </w:rPr>
        <w:t>8:00-11:30,1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0-17: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0）到南平</w:t>
      </w:r>
      <w:r>
        <w:rPr>
          <w:rFonts w:hint="eastAsia" w:ascii="仿宋_GB2312" w:hAnsi="仿宋_GB2312" w:eastAsia="仿宋_GB2312" w:cs="仿宋_GB2312"/>
          <w:color w:val="000000" w:themeColor="text1"/>
          <w:sz w:val="32"/>
          <w:szCs w:val="32"/>
          <w:lang w:eastAsia="zh-CN"/>
          <w14:textFill>
            <w14:solidFill>
              <w14:schemeClr w14:val="tx1"/>
            </w14:solidFill>
          </w14:textFill>
        </w:rPr>
        <w:t>市高建养护工程</w:t>
      </w:r>
      <w:r>
        <w:rPr>
          <w:rFonts w:ascii="仿宋_GB2312" w:hAnsi="仿宋_GB2312" w:eastAsia="仿宋_GB2312" w:cs="仿宋_GB2312"/>
          <w:color w:val="000000" w:themeColor="text1"/>
          <w:sz w:val="32"/>
          <w:szCs w:val="32"/>
          <w14:textFill>
            <w14:solidFill>
              <w14:schemeClr w14:val="tx1"/>
            </w14:solidFill>
          </w14:textFill>
        </w:rPr>
        <w:t>有限公</w:t>
      </w:r>
      <w:r>
        <w:rPr>
          <w:rFonts w:hint="eastAsia" w:ascii="仿宋_GB2312" w:hAnsi="仿宋_GB2312" w:eastAsia="仿宋_GB2312" w:cs="仿宋_GB2312"/>
          <w:color w:val="000000" w:themeColor="text1"/>
          <w:sz w:val="32"/>
          <w:szCs w:val="32"/>
          <w14:textFill>
            <w14:solidFill>
              <w14:schemeClr w14:val="tx1"/>
            </w14:solidFill>
          </w14:textFill>
        </w:rPr>
        <w:t>司（</w:t>
      </w:r>
      <w:r>
        <w:rPr>
          <w:rFonts w:hint="eastAsia" w:ascii="仿宋_GB2312" w:hAnsi="仿宋_GB2312" w:eastAsia="仿宋_GB2312" w:cs="仿宋_GB2312"/>
          <w:color w:val="000000" w:themeColor="text1"/>
          <w:sz w:val="32"/>
          <w:szCs w:val="32"/>
          <w:lang w:eastAsia="zh-CN"/>
          <w14:textFill>
            <w14:solidFill>
              <w14:schemeClr w14:val="tx1"/>
            </w14:solidFill>
          </w14:textFill>
        </w:rPr>
        <w:t>南平高速运营管理公司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B3幢一</w:t>
      </w:r>
      <w:r>
        <w:rPr>
          <w:rFonts w:hint="eastAsia" w:ascii="仿宋_GB2312" w:hAnsi="仿宋_GB2312" w:eastAsia="仿宋_GB2312" w:cs="仿宋_GB2312"/>
          <w:color w:val="000000" w:themeColor="text1"/>
          <w:sz w:val="32"/>
          <w:szCs w:val="32"/>
          <w14:textFill>
            <w14:solidFill>
              <w14:schemeClr w14:val="tx1"/>
            </w14:solidFill>
          </w14:textFill>
        </w:rPr>
        <w:t>楼</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w:t>
      </w:r>
      <w:r>
        <w:rPr>
          <w:rFonts w:hint="eastAsia" w:ascii="仿宋_GB2312" w:hAnsi="仿宋_GB2312" w:eastAsia="仿宋_GB2312" w:cs="仿宋_GB2312"/>
          <w:color w:val="000000" w:themeColor="text1"/>
          <w:sz w:val="32"/>
          <w:szCs w:val="32"/>
          <w14:textFill>
            <w14:solidFill>
              <w14:schemeClr w14:val="tx1"/>
            </w14:solidFill>
          </w14:textFill>
        </w:rPr>
        <w:t>部）</w:t>
      </w:r>
      <w:bookmarkStart w:id="9" w:name="_GoBack"/>
      <w:r>
        <w:rPr>
          <w:rFonts w:hint="eastAsia" w:ascii="仿宋_GB2312" w:hAnsi="仿宋_GB2312" w:eastAsia="仿宋_GB2312" w:cs="仿宋_GB2312"/>
          <w:b/>
          <w:bCs/>
          <w:color w:val="000000" w:themeColor="text1"/>
          <w:sz w:val="32"/>
          <w:szCs w:val="32"/>
          <w:lang w:eastAsia="zh-CN"/>
          <w14:textFill>
            <w14:solidFill>
              <w14:schemeClr w14:val="tx1"/>
            </w14:solidFill>
          </w14:textFill>
        </w:rPr>
        <w:t>凭收到的短信</w:t>
      </w:r>
      <w:bookmarkEnd w:id="9"/>
      <w:r>
        <w:rPr>
          <w:rFonts w:hint="eastAsia" w:ascii="仿宋_GB2312" w:hAnsi="仿宋_GB2312" w:eastAsia="仿宋_GB2312" w:cs="仿宋_GB2312"/>
          <w:color w:val="000000" w:themeColor="text1"/>
          <w:sz w:val="32"/>
          <w:szCs w:val="32"/>
          <w14:textFill>
            <w14:solidFill>
              <w14:schemeClr w14:val="tx1"/>
            </w14:solidFill>
          </w14:textFill>
        </w:rPr>
        <w:t>报名并购买选择文件，招标文件电子版售价300元人民币，过期不售，售后不退。</w:t>
      </w:r>
    </w:p>
    <w:p>
      <w:pPr>
        <w:spacing w:line="4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购买标书银行帐</w:t>
      </w:r>
      <w:r>
        <w:rPr>
          <w:rFonts w:hint="eastAsia" w:ascii="仿宋_GB2312" w:hAnsi="仿宋_GB2312" w:eastAsia="仿宋_GB2312" w:cs="仿宋_GB2312"/>
          <w:color w:val="000000" w:themeColor="text1"/>
          <w:sz w:val="32"/>
          <w:szCs w:val="32"/>
          <w:lang w:eastAsia="zh-CN"/>
          <w14:textFill>
            <w14:solidFill>
              <w14:schemeClr w14:val="tx1"/>
            </w14:solidFill>
          </w14:textFill>
        </w:rPr>
        <w:t>户信息：</w:t>
      </w:r>
    </w:p>
    <w:p>
      <w:pPr>
        <w:spacing w:line="4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蒋美婷</w:t>
      </w:r>
    </w:p>
    <w:p>
      <w:pPr>
        <w:spacing w:line="4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6217001210046435721</w:t>
      </w:r>
    </w:p>
    <w:p>
      <w:pPr>
        <w:spacing w:line="4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中国建设银行上海青村支行</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五、承诺文件的递交</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承诺文件递交的截止时间为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ascii="仿宋_GB2312" w:hAnsi="仿宋_GB2312" w:eastAsia="仿宋_GB2312" w:cs="仿宋_GB2312"/>
          <w:color w:val="000000" w:themeColor="text1"/>
          <w:sz w:val="32"/>
          <w:szCs w:val="32"/>
          <w14:textFill>
            <w14:solidFill>
              <w14:schemeClr w14:val="tx1"/>
            </w14:solidFill>
          </w14:textFill>
        </w:rPr>
        <w:t>9:00</w:t>
      </w:r>
      <w:r>
        <w:rPr>
          <w:rFonts w:hint="eastAsia" w:ascii="仿宋_GB2312" w:hAnsi="仿宋_GB2312" w:eastAsia="仿宋_GB2312" w:cs="仿宋_GB2312"/>
          <w:color w:val="000000" w:themeColor="text1"/>
          <w:sz w:val="32"/>
          <w:szCs w:val="32"/>
          <w14:textFill>
            <w14:solidFill>
              <w14:schemeClr w14:val="tx1"/>
            </w14:solidFill>
          </w14:textFill>
        </w:rPr>
        <w:t>，承诺人应于</w:t>
      </w:r>
      <w:r>
        <w:rPr>
          <w:rFonts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截止</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eastAsia="zh-CN"/>
          <w14:textFill>
            <w14:solidFill>
              <w14:schemeClr w14:val="tx1"/>
            </w14:solidFill>
          </w14:textFill>
        </w:rPr>
        <w:t>间</w:t>
      </w:r>
      <w:r>
        <w:rPr>
          <w:rFonts w:hint="eastAsia" w:ascii="仿宋_GB2312" w:hAnsi="仿宋_GB2312" w:eastAsia="仿宋_GB2312" w:cs="仿宋_GB2312"/>
          <w:color w:val="000000" w:themeColor="text1"/>
          <w:sz w:val="32"/>
          <w:szCs w:val="32"/>
          <w14:textFill>
            <w14:solidFill>
              <w14:schemeClr w14:val="tx1"/>
            </w14:solidFill>
          </w14:textFill>
        </w:rPr>
        <w:t>前将承诺文件递交至武夷山市南平高速公路运营管理中心</w:t>
      </w:r>
      <w:r>
        <w:rPr>
          <w:rFonts w:ascii="仿宋_GB2312" w:hAnsi="仿宋_GB2312" w:eastAsia="仿宋_GB2312" w:cs="仿宋_GB2312"/>
          <w:color w:val="000000" w:themeColor="text1"/>
          <w:sz w:val="32"/>
          <w:szCs w:val="32"/>
          <w14:textFill>
            <w14:solidFill>
              <w14:schemeClr w14:val="tx1"/>
            </w14:solidFill>
          </w14:textFill>
        </w:rPr>
        <w:t xml:space="preserve"> B3 </w:t>
      </w:r>
      <w:r>
        <w:rPr>
          <w:rFonts w:hint="eastAsia" w:ascii="仿宋_GB2312" w:hAnsi="仿宋_GB2312" w:eastAsia="仿宋_GB2312" w:cs="仿宋_GB2312"/>
          <w:color w:val="000000" w:themeColor="text1"/>
          <w:sz w:val="32"/>
          <w:szCs w:val="32"/>
          <w14:textFill>
            <w14:solidFill>
              <w14:schemeClr w14:val="tx1"/>
            </w14:solidFill>
          </w14:textFill>
        </w:rPr>
        <w:t>栋（南平市高建养护工程有限公司二楼会议室）。逾期送达的或者未送达指定地点的承诺文件不予受理。</w:t>
      </w:r>
    </w:p>
    <w:p>
      <w:pPr>
        <w:spacing w:line="58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六、承诺保证金递交</w:t>
      </w:r>
    </w:p>
    <w:p>
      <w:pPr>
        <w:spacing w:line="520" w:lineRule="exact"/>
        <w:ind w:left="481" w:leftChars="229" w:firstLine="160" w:firstLineChars="5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6.1承诺保证金提交金额：人民币</w:t>
      </w:r>
      <w:r>
        <w:rPr>
          <w:rFonts w:hint="eastAsia" w:ascii="仿宋_GB2312" w:hAnsi="仿宋_GB2312" w:eastAsia="仿宋_GB2312" w:cs="仿宋_GB2312"/>
          <w:bCs/>
          <w:color w:val="000000" w:themeColor="text1"/>
          <w:sz w:val="32"/>
          <w:szCs w:val="32"/>
          <w14:textFill>
            <w14:solidFill>
              <w14:schemeClr w14:val="tx1"/>
            </w14:solidFill>
          </w14:textFill>
        </w:rPr>
        <w:t>贰万元整（￥</w:t>
      </w:r>
      <w:r>
        <w:rPr>
          <w:rFonts w:ascii="仿宋_GB2312" w:hAnsi="仿宋_GB2312" w:eastAsia="仿宋_GB2312" w:cs="仿宋_GB2312"/>
          <w:bCs/>
          <w:color w:val="000000" w:themeColor="text1"/>
          <w:sz w:val="32"/>
          <w:szCs w:val="32"/>
          <w14:textFill>
            <w14:solidFill>
              <w14:schemeClr w14:val="tx1"/>
            </w14:solidFill>
          </w14:textFill>
        </w:rPr>
        <w:t>20000</w:t>
      </w:r>
    </w:p>
    <w:p>
      <w:pPr>
        <w:spacing w:line="520" w:lineRule="exact"/>
        <w:ind w:left="0" w:leftChars="0" w:firstLine="0" w:firstLineChars="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元）；须在</w:t>
      </w:r>
      <w:r>
        <w:rPr>
          <w:rFonts w:ascii="仿宋_GB2312" w:hAnsi="仿宋_GB2312" w:eastAsia="仿宋_GB2312" w:cs="仿宋_GB2312"/>
          <w:bCs/>
          <w:color w:val="000000" w:themeColor="text1"/>
          <w:sz w:val="32"/>
          <w:szCs w:val="32"/>
          <w14:textFill>
            <w14:solidFill>
              <w14:schemeClr w14:val="tx1"/>
            </w14:solidFill>
          </w14:textFill>
        </w:rPr>
        <w:t>20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w:t>
      </w:r>
      <w:r>
        <w:rPr>
          <w:rFonts w:ascii="仿宋_GB2312" w:hAnsi="仿宋_GB2312" w:eastAsia="仿宋_GB2312" w:cs="仿宋_GB2312"/>
          <w:bCs/>
          <w:color w:val="000000" w:themeColor="text1"/>
          <w:sz w:val="32"/>
          <w:szCs w:val="32"/>
          <w14:textFill>
            <w14:solidFill>
              <w14:schemeClr w14:val="tx1"/>
            </w14:solidFill>
          </w14:textFill>
        </w:rPr>
        <w:t>日 17:00  时前从</w:t>
      </w:r>
      <w:r>
        <w:rPr>
          <w:rFonts w:hint="eastAsia" w:ascii="仿宋_GB2312" w:hAnsi="仿宋_GB2312" w:eastAsia="仿宋_GB2312" w:cs="仿宋_GB2312"/>
          <w:bCs/>
          <w:color w:val="000000" w:themeColor="text1"/>
          <w:sz w:val="32"/>
          <w:szCs w:val="32"/>
          <w14:textFill>
            <w14:solidFill>
              <w14:schemeClr w14:val="tx1"/>
            </w14:solidFill>
          </w14:textFill>
        </w:rPr>
        <w:t>承诺人基本帐户一次性汇达并解入选择人指定银行帐号（写明用途，以到账时间为准）</w:t>
      </w:r>
    </w:p>
    <w:p>
      <w:pPr>
        <w:spacing w:line="52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6.2</w:t>
      </w:r>
      <w:r>
        <w:rPr>
          <w:rFonts w:hint="eastAsia" w:ascii="仿宋_GB2312" w:hAnsi="仿宋_GB2312" w:eastAsia="仿宋_GB2312" w:cs="仿宋_GB2312"/>
          <w:bCs/>
          <w:color w:val="000000" w:themeColor="text1"/>
          <w:sz w:val="32"/>
          <w:szCs w:val="32"/>
          <w14:textFill>
            <w14:solidFill>
              <w14:schemeClr w14:val="tx1"/>
            </w14:solidFill>
          </w14:textFill>
        </w:rPr>
        <w:t>承诺保证金银行帐号：</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开户银行：</w:t>
      </w:r>
      <w:r>
        <w:rPr>
          <w:rFonts w:ascii="仿宋_GB2312" w:hAnsi="仿宋_GB2312" w:eastAsia="仿宋_GB2312" w:cs="仿宋_GB2312"/>
          <w:bCs/>
          <w:color w:val="000000" w:themeColor="text1"/>
          <w:sz w:val="32"/>
          <w:szCs w:val="32"/>
          <w14:textFill>
            <w14:solidFill>
              <w14:schemeClr w14:val="tx1"/>
            </w14:solidFill>
          </w14:textFill>
        </w:rPr>
        <w:t xml:space="preserve">   中国建设银行延平支行     </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开户名称：</w:t>
      </w:r>
      <w:r>
        <w:rPr>
          <w:rFonts w:ascii="仿宋_GB2312" w:hAnsi="仿宋_GB2312" w:eastAsia="仿宋_GB2312" w:cs="仿宋_GB2312"/>
          <w:bCs/>
          <w:color w:val="000000" w:themeColor="text1"/>
          <w:sz w:val="32"/>
          <w:szCs w:val="32"/>
          <w14:textFill>
            <w14:solidFill>
              <w14:schemeClr w14:val="tx1"/>
            </w14:solidFill>
          </w14:textFill>
        </w:rPr>
        <w:t xml:space="preserve">   南平市高建养护工程有限公司     </w:t>
      </w:r>
    </w:p>
    <w:p>
      <w:pPr>
        <w:spacing w:line="520" w:lineRule="exact"/>
        <w:ind w:left="1275" w:leftChars="607"/>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帐</w:t>
      </w:r>
      <w:r>
        <w:rPr>
          <w:rFonts w:ascii="仿宋_GB2312" w:hAnsi="仿宋_GB2312" w:eastAsia="仿宋_GB2312" w:cs="仿宋_GB2312"/>
          <w:bCs/>
          <w:color w:val="000000" w:themeColor="text1"/>
          <w:sz w:val="32"/>
          <w:szCs w:val="32"/>
          <w14:textFill>
            <w14:solidFill>
              <w14:schemeClr w14:val="tx1"/>
            </w14:solidFill>
          </w14:textFill>
        </w:rPr>
        <w:t xml:space="preserve">    号：   35001676107052507374     </w:t>
      </w:r>
    </w:p>
    <w:p>
      <w:pPr>
        <w:tabs>
          <w:tab w:val="left" w:pos="1134"/>
        </w:tabs>
        <w:spacing w:line="520" w:lineRule="exact"/>
        <w:ind w:left="426"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用</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途：（请注明）“</w:t>
      </w:r>
      <w:r>
        <w:rPr>
          <w:rFonts w:hint="eastAsia" w:ascii="仿宋_GB2312" w:hAnsi="仿宋_GB2312" w:eastAsia="仿宋_GB2312" w:cs="仿宋_GB2312"/>
          <w:color w:val="000000" w:themeColor="text1"/>
          <w:spacing w:val="-4"/>
          <w:sz w:val="32"/>
          <w:szCs w:val="32"/>
          <w14:textFill>
            <w14:solidFill>
              <w14:schemeClr w14:val="tx1"/>
            </w14:solidFill>
          </w14:textFill>
        </w:rPr>
        <w:t>高速日常养护</w:t>
      </w:r>
      <w:r>
        <w:rPr>
          <w:rFonts w:hint="eastAsia" w:ascii="仿宋_GB2312" w:hAnsi="仿宋_GB2312" w:eastAsia="仿宋_GB2312" w:cs="仿宋_GB2312"/>
          <w:bCs/>
          <w:color w:val="000000" w:themeColor="text1"/>
          <w:sz w:val="32"/>
          <w:szCs w:val="32"/>
          <w14:textFill>
            <w14:solidFill>
              <w14:schemeClr w14:val="tx1"/>
            </w14:solidFill>
          </w14:textFill>
        </w:rPr>
        <w:t>承诺保证金”</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，如因承诺人汇款凭证未注明项目名称造成选择人无法识别承诺保证金到账情况或识别错误的，其责任由承诺人自行承担。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七、其他说明</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中选后</w:t>
      </w:r>
      <w:r>
        <w:rPr>
          <w:rFonts w:hint="eastAsia" w:ascii="仿宋_GB2312" w:hAnsi="仿宋_GB2312" w:eastAsia="仿宋_GB2312" w:cs="仿宋_GB2312"/>
          <w:color w:val="000000" w:themeColor="text1"/>
          <w:sz w:val="32"/>
          <w:szCs w:val="32"/>
          <w:lang w:eastAsia="zh-CN"/>
          <w14:textFill>
            <w14:solidFill>
              <w14:schemeClr w14:val="tx1"/>
            </w14:solidFill>
          </w14:textFill>
        </w:rPr>
        <w:t>承诺保证金转</w:t>
      </w:r>
      <w:r>
        <w:rPr>
          <w:rFonts w:ascii="仿宋_GB2312" w:hAnsi="仿宋_GB2312" w:eastAsia="仿宋_GB2312" w:cs="仿宋_GB2312"/>
          <w:color w:val="000000" w:themeColor="text1"/>
          <w:sz w:val="32"/>
          <w:szCs w:val="32"/>
          <w14:textFill>
            <w14:solidFill>
              <w14:schemeClr w14:val="tx1"/>
            </w14:solidFill>
          </w14:textFill>
        </w:rPr>
        <w:t>为履约保证金。</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2、中选</w:t>
      </w:r>
      <w:r>
        <w:rPr>
          <w:rFonts w:hint="eastAsia" w:ascii="仿宋_GB2312" w:hAnsi="仿宋_GB2312" w:eastAsia="仿宋_GB2312" w:cs="仿宋_GB2312"/>
          <w:bCs/>
          <w:color w:val="000000" w:themeColor="text1"/>
          <w:sz w:val="32"/>
          <w:szCs w:val="32"/>
          <w14:textFill>
            <w14:solidFill>
              <w14:schemeClr w14:val="tx1"/>
            </w14:solidFill>
          </w14:textFill>
        </w:rPr>
        <w:t>日常养护工程的协作班组与南平市高建养护工程有限公司分别签订日常普修（小水毁小专项）及绿化养护合同。</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日常养护</w:t>
      </w:r>
      <w:r>
        <w:rPr>
          <w:rFonts w:ascii="仿宋_GB2312" w:hAnsi="仿宋_GB2312" w:eastAsia="仿宋_GB2312" w:cs="仿宋_GB2312"/>
          <w:color w:val="000000" w:themeColor="text1"/>
          <w:sz w:val="32"/>
          <w:szCs w:val="32"/>
          <w14:textFill>
            <w14:solidFill>
              <w14:schemeClr w14:val="tx1"/>
            </w14:solidFill>
          </w14:textFill>
        </w:rPr>
        <w:t>每个</w:t>
      </w:r>
      <w:r>
        <w:rPr>
          <w:rFonts w:hint="eastAsia" w:ascii="仿宋_GB2312" w:hAnsi="仿宋_GB2312" w:eastAsia="仿宋_GB2312" w:cs="仿宋_GB2312"/>
          <w:color w:val="000000" w:themeColor="text1"/>
          <w:sz w:val="32"/>
          <w:szCs w:val="32"/>
          <w14:textFill>
            <w14:solidFill>
              <w14:schemeClr w14:val="tx1"/>
            </w14:solidFill>
          </w14:textFill>
        </w:rPr>
        <w:t>承诺人必须同时参与</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个标段的投标，但只能中选一个标段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4、根据甲方下发的《南平市高建养护工程有限公司协作班组考核实施办法》（试行版）每季度对协作班组进行考核，若班组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连续</w:t>
      </w:r>
      <w:r>
        <w:rPr>
          <w:rFonts w:hint="eastAsia" w:ascii="仿宋_GB2312" w:hAnsi="仿宋_GB2312" w:eastAsia="仿宋_GB2312" w:cs="仿宋_GB2312"/>
          <w:b/>
          <w:bCs/>
          <w:color w:val="000000" w:themeColor="text1"/>
          <w:sz w:val="32"/>
          <w:szCs w:val="32"/>
          <w14:textFill>
            <w14:solidFill>
              <w14:schemeClr w14:val="tx1"/>
            </w14:solidFill>
          </w14:textFill>
        </w:rPr>
        <w:t>两季度考核得分低于</w:t>
      </w:r>
      <w:r>
        <w:rPr>
          <w:rFonts w:ascii="仿宋_GB2312" w:hAnsi="仿宋_GB2312" w:eastAsia="仿宋_GB2312" w:cs="仿宋_GB2312"/>
          <w:b/>
          <w:bCs/>
          <w:color w:val="000000" w:themeColor="text1"/>
          <w:sz w:val="32"/>
          <w:szCs w:val="32"/>
          <w14:textFill>
            <w14:solidFill>
              <w14:schemeClr w14:val="tx1"/>
            </w14:solidFill>
          </w14:textFill>
        </w:rPr>
        <w:t>80</w:t>
      </w:r>
      <w:r>
        <w:rPr>
          <w:rFonts w:hint="eastAsia" w:ascii="仿宋_GB2312" w:hAnsi="仿宋_GB2312" w:eastAsia="仿宋_GB2312" w:cs="仿宋_GB2312"/>
          <w:b/>
          <w:bCs/>
          <w:color w:val="000000" w:themeColor="text1"/>
          <w:sz w:val="32"/>
          <w:szCs w:val="32"/>
          <w14:textFill>
            <w14:solidFill>
              <w14:schemeClr w14:val="tx1"/>
            </w14:solidFill>
          </w14:textFill>
        </w:rPr>
        <w:t>分的，甲方有权提前终止合同，乙方无条件接受。</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八、联系方式</w:t>
      </w:r>
    </w:p>
    <w:p>
      <w:pPr>
        <w:spacing w:line="52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选择人：</w:t>
      </w:r>
      <w:r>
        <w:rPr>
          <w:rFonts w:ascii="仿宋_GB2312" w:hAnsi="仿宋_GB2312" w:eastAsia="仿宋_GB2312" w:cs="仿宋_GB2312"/>
          <w:b/>
          <w:bCs/>
          <w:color w:val="000000" w:themeColor="text1"/>
          <w:sz w:val="32"/>
          <w:szCs w:val="32"/>
          <w14:textFill>
            <w14:solidFill>
              <w14:schemeClr w14:val="tx1"/>
            </w14:solidFill>
          </w14:textFill>
        </w:rPr>
        <w:t>南平市高建养护工程有限公司</w:t>
      </w:r>
    </w:p>
    <w:p>
      <w:pPr>
        <w:spacing w:line="52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联系人：</w:t>
      </w:r>
      <w:r>
        <w:rPr>
          <w:rFonts w:ascii="仿宋_GB2312" w:hAnsi="仿宋_GB2312" w:eastAsia="仿宋_GB2312" w:cs="仿宋_GB2312"/>
          <w:spacing w:val="-4"/>
          <w:sz w:val="32"/>
          <w:szCs w:val="32"/>
        </w:rPr>
        <w:t xml:space="preserve"> </w:t>
      </w:r>
      <w:r>
        <w:rPr>
          <w:rFonts w:hint="eastAsia" w:ascii="仿宋_GB2312" w:hAnsi="仿宋_GB2312" w:eastAsia="仿宋_GB2312" w:cs="仿宋_GB2312"/>
          <w:spacing w:val="-4"/>
          <w:sz w:val="32"/>
          <w:szCs w:val="32"/>
          <w:lang w:eastAsia="zh-CN"/>
        </w:rPr>
        <w:t>邓工</w:t>
      </w:r>
      <w:r>
        <w:rPr>
          <w:rFonts w:ascii="仿宋_GB2312" w:hAnsi="仿宋_GB2312" w:eastAsia="仿宋_GB2312" w:cs="仿宋_GB2312"/>
          <w:spacing w:val="-4"/>
          <w:sz w:val="32"/>
          <w:szCs w:val="32"/>
        </w:rPr>
        <w:t xml:space="preserve"> </w:t>
      </w:r>
    </w:p>
    <w:p>
      <w:pPr>
        <w:spacing w:line="520" w:lineRule="exact"/>
        <w:ind w:firstLine="624" w:firstLineChars="200"/>
        <w:rPr>
          <w:rFonts w:hint="default" w:ascii="宋体" w:hAnsi="宋体" w:eastAsia="仿宋_GB2312"/>
          <w:spacing w:val="-4"/>
          <w:sz w:val="28"/>
          <w:szCs w:val="28"/>
          <w:lang w:val="en-US" w:eastAsia="zh-CN"/>
        </w:rPr>
      </w:pPr>
      <w:r>
        <w:rPr>
          <w:rFonts w:hint="eastAsia" w:ascii="仿宋_GB2312" w:hAnsi="仿宋_GB2312" w:eastAsia="仿宋_GB2312" w:cs="仿宋_GB2312"/>
          <w:spacing w:val="-4"/>
          <w:sz w:val="32"/>
          <w:szCs w:val="32"/>
        </w:rPr>
        <w:t>电话：</w:t>
      </w:r>
      <w:r>
        <w:rPr>
          <w:rFonts w:ascii="仿宋_GB2312" w:hAnsi="仿宋_GB2312" w:eastAsia="仿宋_GB2312" w:cs="仿宋_GB2312"/>
          <w:spacing w:val="-4"/>
          <w:sz w:val="32"/>
          <w:szCs w:val="32"/>
        </w:rPr>
        <w:t xml:space="preserve"> </w:t>
      </w:r>
      <w:r>
        <w:rPr>
          <w:rFonts w:hint="eastAsia" w:ascii="仿宋_GB2312" w:hAnsi="仿宋_GB2312" w:eastAsia="仿宋_GB2312" w:cs="仿宋_GB2312"/>
          <w:spacing w:val="-4"/>
          <w:sz w:val="32"/>
          <w:szCs w:val="32"/>
          <w:lang w:val="en-US" w:eastAsia="zh-CN"/>
        </w:rPr>
        <w:t>13960642639</w:t>
      </w:r>
    </w:p>
    <w:p>
      <w:pPr>
        <w:spacing w:line="580" w:lineRule="exact"/>
        <w:ind w:firstLine="643" w:firstLineChars="200"/>
        <w:rPr>
          <w:rFonts w:ascii="仿宋" w:hAnsi="仿宋" w:eastAsia="仿宋"/>
          <w:b/>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p>
    <w:bookmarkEnd w:id="8"/>
    <w:p>
      <w:pPr>
        <w:spacing w:line="520" w:lineRule="exact"/>
        <w:ind w:left="3520" w:hanging="3432" w:hangingChars="1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pacing w:val="-4"/>
          <w:sz w:val="32"/>
          <w:szCs w:val="32"/>
          <w:lang w:val="en-US" w:eastAsia="zh-CN"/>
          <w14:textFill>
            <w14:solidFill>
              <w14:schemeClr w14:val="tx1"/>
            </w14:solidFill>
          </w14:textFill>
        </w:rPr>
        <w:t xml:space="preserve">                       </w:t>
      </w:r>
      <w:r>
        <w:rPr>
          <w:rFonts w:ascii="仿宋_GB2312" w:hAnsi="仿宋_GB2312" w:eastAsia="仿宋_GB2312" w:cs="仿宋_GB2312"/>
          <w:b/>
          <w:bCs/>
          <w:color w:val="000000" w:themeColor="text1"/>
          <w:sz w:val="32"/>
          <w:szCs w:val="32"/>
          <w14:textFill>
            <w14:solidFill>
              <w14:schemeClr w14:val="tx1"/>
            </w14:solidFill>
          </w14:textFill>
        </w:rPr>
        <w:t>南平市高建养护工程有限公司</w:t>
      </w:r>
      <w:r>
        <w:rPr>
          <w:rFonts w:ascii="仿宋" w:hAnsi="仿宋" w:eastAsia="仿宋"/>
          <w:color w:val="000000" w:themeColor="text1"/>
          <w:kern w:val="0"/>
          <w:sz w:val="32"/>
          <w:szCs w:val="32"/>
          <w14:textFill>
            <w14:solidFill>
              <w14:schemeClr w14:val="tx1"/>
            </w14:solidFill>
          </w14:textFill>
        </w:rPr>
        <w:t xml:space="preserve">                       20</w:t>
      </w:r>
      <w:r>
        <w:rPr>
          <w:rFonts w:hint="eastAsia" w:ascii="仿宋" w:hAnsi="仿宋" w:eastAsia="仿宋"/>
          <w:color w:val="000000" w:themeColor="text1"/>
          <w:kern w:val="0"/>
          <w:sz w:val="32"/>
          <w:szCs w:val="32"/>
          <w:lang w:val="en-US" w:eastAsia="zh-CN"/>
          <w14:textFill>
            <w14:solidFill>
              <w14:schemeClr w14:val="tx1"/>
            </w14:solidFill>
          </w14:textFill>
        </w:rPr>
        <w:t>21</w:t>
      </w:r>
      <w:r>
        <w:rPr>
          <w:rFonts w:hint="eastAsia" w:ascii="仿宋" w:hAnsi="仿宋" w:eastAsia="仿宋"/>
          <w:color w:val="000000" w:themeColor="text1"/>
          <w:kern w:val="0"/>
          <w:sz w:val="32"/>
          <w:szCs w:val="32"/>
          <w14:textFill>
            <w14:solidFill>
              <w14:schemeClr w14:val="tx1"/>
            </w14:solidFill>
          </w14:textFill>
        </w:rPr>
        <w:t>年</w:t>
      </w:r>
      <w:r>
        <w:rPr>
          <w:rFonts w:hint="eastAsia" w:ascii="仿宋" w:hAnsi="仿宋" w:eastAsia="仿宋"/>
          <w:color w:val="000000" w:themeColor="text1"/>
          <w:kern w:val="0"/>
          <w:sz w:val="32"/>
          <w:szCs w:val="32"/>
          <w:lang w:val="en-US" w:eastAsia="zh-CN"/>
          <w14:textFill>
            <w14:solidFill>
              <w14:schemeClr w14:val="tx1"/>
            </w14:solidFill>
          </w14:textFill>
        </w:rPr>
        <w:t>12</w:t>
      </w:r>
      <w:r>
        <w:rPr>
          <w:rFonts w:hint="eastAsia" w:ascii="仿宋" w:hAnsi="仿宋" w:eastAsia="仿宋"/>
          <w:color w:val="000000" w:themeColor="text1"/>
          <w:kern w:val="0"/>
          <w:sz w:val="32"/>
          <w:szCs w:val="32"/>
          <w14:textFill>
            <w14:solidFill>
              <w14:schemeClr w14:val="tx1"/>
            </w14:solidFill>
          </w14:textFill>
        </w:rPr>
        <w:t>月</w:t>
      </w:r>
      <w:bookmarkEnd w:id="1"/>
      <w:bookmarkEnd w:id="2"/>
      <w:bookmarkEnd w:id="3"/>
      <w:bookmarkEnd w:id="4"/>
      <w:bookmarkEnd w:id="5"/>
      <w:bookmarkEnd w:id="6"/>
      <w:bookmarkEnd w:id="7"/>
      <w:r>
        <w:rPr>
          <w:rFonts w:hint="eastAsia" w:ascii="仿宋" w:hAnsi="仿宋" w:eastAsia="仿宋"/>
          <w:color w:val="000000" w:themeColor="text1"/>
          <w:kern w:val="0"/>
          <w:sz w:val="32"/>
          <w:szCs w:val="32"/>
          <w:lang w:val="en-US" w:eastAsia="zh-CN"/>
          <w14:textFill>
            <w14:solidFill>
              <w14:schemeClr w14:val="tx1"/>
            </w14:solidFill>
          </w14:textFill>
        </w:rPr>
        <w:t>10</w:t>
      </w:r>
      <w:r>
        <w:rPr>
          <w:rFonts w:hint="eastAsia" w:ascii="仿宋" w:hAnsi="仿宋" w:eastAsia="仿宋"/>
          <w:color w:val="000000" w:themeColor="text1"/>
          <w:kern w:val="0"/>
          <w:sz w:val="32"/>
          <w:szCs w:val="32"/>
          <w14:textFill>
            <w14:solidFill>
              <w14:schemeClr w14:val="tx1"/>
            </w14:solidFill>
          </w14:textFill>
        </w:rPr>
        <w:t>日</w:t>
      </w:r>
    </w:p>
    <w:p>
      <w:r>
        <w:rPr>
          <w:rFonts w:ascii="仿宋" w:hAnsi="仿宋" w:eastAsia="仿宋"/>
          <w:b w:val="0"/>
          <w:bCs/>
          <w:color w:val="000000" w:themeColor="text1"/>
          <w:kern w:val="44"/>
          <w:sz w:val="32"/>
          <w:szCs w:val="32"/>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7CED6"/>
    <w:multiLevelType w:val="singleLevel"/>
    <w:tmpl w:val="A967CE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3618E"/>
    <w:rsid w:val="0EC96BCD"/>
    <w:rsid w:val="10602344"/>
    <w:rsid w:val="16B80541"/>
    <w:rsid w:val="2FD3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jc w:val="center"/>
      <w:outlineLvl w:val="0"/>
    </w:pPr>
    <w:rPr>
      <w:b/>
      <w:bCs/>
      <w:kern w:val="44"/>
      <w:sz w:val="44"/>
      <w:szCs w:val="44"/>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360" w:lineRule="auto"/>
      <w:ind w:left="200" w:leftChars="200" w:firstLine="420"/>
    </w:pPr>
    <w:rPr>
      <w:szCs w:val="20"/>
    </w:rPr>
  </w:style>
  <w:style w:type="paragraph" w:styleId="3">
    <w:name w:val="Body Text Indent"/>
    <w:basedOn w:val="1"/>
    <w:qFormat/>
    <w:uiPriority w:val="0"/>
    <w:pPr>
      <w:spacing w:line="480" w:lineRule="exact"/>
      <w:ind w:firstLine="359" w:firstLineChars="17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2021-12-06T03:37:00Z</dcterms:created>
  <dc:creator>刘芳铃</dc:creator>
  <cp:lastModifiedBy>刘芳铃</cp:lastModifiedBy>
  <dcterms:modified xsi:type="dcterms:W3CDTF">2021-12-06T08:43:29Z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FFBC2BC63BA04439A2451B1AF61B0A79</vt:lpwstr>
  </property>
</Properties>
</file>